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DB" w:rsidRPr="003F126D" w:rsidRDefault="008445DB" w:rsidP="008445DB">
      <w:pPr>
        <w:adjustRightInd w:val="0"/>
        <w:snapToGrid w:val="0"/>
        <w:spacing w:line="700" w:lineRule="exact"/>
        <w:rPr>
          <w:rFonts w:ascii="黑体" w:eastAsia="黑体" w:hAnsi="黑体"/>
          <w:sz w:val="32"/>
          <w:szCs w:val="32"/>
        </w:rPr>
      </w:pPr>
      <w:r w:rsidRPr="003F126D">
        <w:rPr>
          <w:rFonts w:ascii="黑体" w:eastAsia="黑体" w:hAnsi="黑体" w:hint="eastAsia"/>
          <w:sz w:val="32"/>
          <w:szCs w:val="32"/>
        </w:rPr>
        <w:t>附件</w:t>
      </w:r>
    </w:p>
    <w:p w:rsidR="008445DB" w:rsidRPr="000C1644" w:rsidRDefault="008445DB" w:rsidP="008445DB">
      <w:pPr>
        <w:adjustRightInd w:val="0"/>
        <w:snapToGrid w:val="0"/>
        <w:spacing w:line="700" w:lineRule="exact"/>
        <w:jc w:val="center"/>
        <w:rPr>
          <w:rFonts w:ascii="方正小标宋简体" w:eastAsia="方正小标宋简体" w:hAnsi="Times New Roman"/>
          <w:sz w:val="44"/>
          <w:szCs w:val="44"/>
        </w:rPr>
      </w:pPr>
      <w:bookmarkStart w:id="0" w:name="_GoBack"/>
      <w:r>
        <w:rPr>
          <w:rFonts w:ascii="方正小标宋简体" w:eastAsia="方正小标宋简体" w:hAnsi="Times New Roman" w:hint="eastAsia"/>
          <w:sz w:val="44"/>
          <w:szCs w:val="44"/>
        </w:rPr>
        <w:t>巴西保函实务与风险防范</w:t>
      </w:r>
    </w:p>
    <w:bookmarkEnd w:id="0"/>
    <w:p w:rsidR="008445DB" w:rsidRDefault="008445DB" w:rsidP="008445DB">
      <w:pPr>
        <w:adjustRightInd w:val="0"/>
        <w:snapToGrid w:val="0"/>
        <w:spacing w:line="660" w:lineRule="exact"/>
        <w:rPr>
          <w:rFonts w:ascii="仿宋_GB2312" w:eastAsia="仿宋_GB2312" w:hAnsi="Times New Roman"/>
          <w:sz w:val="32"/>
          <w:szCs w:val="32"/>
        </w:rPr>
      </w:pPr>
    </w:p>
    <w:p w:rsidR="008445DB" w:rsidRPr="000C1644" w:rsidRDefault="008445DB" w:rsidP="008445DB">
      <w:pPr>
        <w:adjustRightInd w:val="0"/>
        <w:snapToGrid w:val="0"/>
        <w:spacing w:line="660" w:lineRule="exact"/>
        <w:ind w:firstLineChars="200" w:firstLine="640"/>
        <w:rPr>
          <w:rFonts w:ascii="仿宋_GB2312" w:eastAsia="仿宋_GB2312" w:hAnsi="Times New Roman"/>
          <w:sz w:val="32"/>
          <w:szCs w:val="32"/>
        </w:rPr>
      </w:pPr>
      <w:r w:rsidRPr="000C1644">
        <w:rPr>
          <w:rFonts w:ascii="仿宋_GB2312" w:eastAsia="仿宋_GB2312" w:hAnsi="Times New Roman" w:hint="eastAsia"/>
          <w:sz w:val="32"/>
          <w:szCs w:val="32"/>
        </w:rPr>
        <w:t>在“一带一路”合作持续深化、中国企业加速拓展巴西市场的背景下，基础设施、能源及大型设备出口等领域已成为中巴双边合作的重点方向。作为拉丁美洲最大的经济体，巴西深受大陆法系传统与本土商业实践的影响，形成了独具特色的担保法律体系，为中资企业“走出去”带来了重要机遇，也伴随着相应的法律挑战。本文旨在梳理巴西担保体系的法律渊源、保函的核心特征及典型司法判例，为企业在巴西开展业务提供实务参考与风险提示。巴西担保的法律渊源及体系</w:t>
      </w:r>
    </w:p>
    <w:p w:rsidR="008445DB" w:rsidRDefault="008445DB" w:rsidP="008445DB">
      <w:pPr>
        <w:adjustRightInd w:val="0"/>
        <w:snapToGrid w:val="0"/>
        <w:spacing w:line="660" w:lineRule="exact"/>
        <w:ind w:left="640"/>
        <w:rPr>
          <w:rFonts w:ascii="黑体" w:eastAsia="黑体" w:hAnsi="黑体" w:cs="黑体"/>
          <w:sz w:val="32"/>
          <w:szCs w:val="32"/>
        </w:rPr>
      </w:pPr>
      <w:r>
        <w:rPr>
          <w:rFonts w:ascii="黑体" w:eastAsia="黑体" w:hAnsi="黑体"/>
          <w:sz w:val="32"/>
          <w:szCs w:val="32"/>
        </w:rPr>
        <w:t>一、</w:t>
      </w:r>
      <w:r w:rsidRPr="00B04EF5">
        <w:rPr>
          <w:rFonts w:ascii="黑体" w:eastAsia="黑体" w:hAnsi="黑体"/>
          <w:sz w:val="32"/>
          <w:szCs w:val="32"/>
        </w:rPr>
        <w:t>巴西</w:t>
      </w:r>
      <w:r w:rsidRPr="00B04EF5">
        <w:rPr>
          <w:rFonts w:ascii="黑体" w:eastAsia="黑体" w:hAnsi="黑体" w:hint="eastAsia"/>
          <w:sz w:val="32"/>
          <w:szCs w:val="32"/>
        </w:rPr>
        <w:t>担保的法律渊源及体系</w:t>
      </w:r>
    </w:p>
    <w:p w:rsidR="008445DB" w:rsidRPr="00B04EF5" w:rsidRDefault="008445DB" w:rsidP="008445DB">
      <w:pPr>
        <w:adjustRightInd w:val="0"/>
        <w:snapToGrid w:val="0"/>
        <w:spacing w:line="660" w:lineRule="exact"/>
        <w:ind w:firstLineChars="200" w:firstLine="643"/>
        <w:rPr>
          <w:rFonts w:ascii="楷体_GB2312" w:eastAsia="楷体_GB2312" w:hAnsi="Times New Roman"/>
          <w:b/>
          <w:sz w:val="32"/>
          <w:szCs w:val="32"/>
        </w:rPr>
      </w:pPr>
      <w:r w:rsidRPr="00B04EF5">
        <w:rPr>
          <w:rFonts w:ascii="楷体_GB2312" w:eastAsia="楷体_GB2312" w:hAnsi="Times New Roman" w:hint="eastAsia"/>
          <w:b/>
          <w:sz w:val="32"/>
          <w:szCs w:val="32"/>
        </w:rPr>
        <w:t>（一）法律渊源</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0C1644">
        <w:rPr>
          <w:rFonts w:ascii="仿宋_GB2312" w:eastAsia="仿宋_GB2312" w:hAnsi="Times New Roman" w:hint="eastAsia"/>
          <w:sz w:val="32"/>
          <w:szCs w:val="32"/>
        </w:rPr>
        <w:t>巴西属于大陆法系，主</w:t>
      </w:r>
      <w:r w:rsidRPr="007058EB">
        <w:rPr>
          <w:rFonts w:ascii="Times New Roman" w:eastAsia="仿宋_GB2312" w:hAnsi="Times New Roman"/>
          <w:sz w:val="32"/>
          <w:szCs w:val="32"/>
        </w:rPr>
        <w:t>要法律渊源有联邦宪法、联邦法律、行政法规、具有自治权的州法律和行政法规和国际条约。在巴西，</w:t>
      </w:r>
      <w:r w:rsidRPr="007058EB">
        <w:rPr>
          <w:rFonts w:ascii="Times New Roman" w:eastAsia="仿宋_GB2312" w:hAnsi="Times New Roman"/>
          <w:sz w:val="32"/>
          <w:szCs w:val="32"/>
        </w:rPr>
        <w:t>“</w:t>
      </w:r>
      <w:r w:rsidRPr="007058EB">
        <w:rPr>
          <w:rFonts w:ascii="Times New Roman" w:eastAsia="仿宋_GB2312" w:hAnsi="Times New Roman"/>
          <w:sz w:val="32"/>
          <w:szCs w:val="32"/>
        </w:rPr>
        <w:t>担保</w:t>
      </w:r>
      <w:r w:rsidRPr="007058EB">
        <w:rPr>
          <w:rFonts w:ascii="Times New Roman" w:eastAsia="仿宋_GB2312" w:hAnsi="Times New Roman"/>
          <w:sz w:val="32"/>
          <w:szCs w:val="32"/>
        </w:rPr>
        <w:t>”</w:t>
      </w:r>
      <w:r w:rsidRPr="007058EB">
        <w:rPr>
          <w:rFonts w:ascii="Times New Roman" w:eastAsia="仿宋_GB2312" w:hAnsi="Times New Roman"/>
          <w:sz w:val="32"/>
          <w:szCs w:val="32"/>
        </w:rPr>
        <w:t>并未被编入单行法，其规范分散于《巴西民法典（</w:t>
      </w:r>
      <w:r w:rsidRPr="007058EB">
        <w:rPr>
          <w:rFonts w:ascii="Times New Roman" w:eastAsia="仿宋_GB2312" w:hAnsi="Times New Roman"/>
          <w:sz w:val="32"/>
          <w:szCs w:val="32"/>
        </w:rPr>
        <w:t>Codigo Civil Brasileiro</w:t>
      </w:r>
      <w:r w:rsidRPr="007058EB">
        <w:rPr>
          <w:rFonts w:ascii="Times New Roman" w:eastAsia="仿宋_GB2312" w:hAnsi="Times New Roman"/>
          <w:sz w:val="32"/>
          <w:szCs w:val="32"/>
        </w:rPr>
        <w:t>）》、《巴西民事诉讼法典（</w:t>
      </w:r>
      <w:r w:rsidRPr="007058EB">
        <w:rPr>
          <w:rFonts w:ascii="Times New Roman" w:eastAsia="仿宋_GB2312" w:hAnsi="Times New Roman"/>
          <w:sz w:val="32"/>
          <w:szCs w:val="32"/>
        </w:rPr>
        <w:t>Codigo de Processo Civil Brasileiro</w:t>
      </w:r>
      <w:r w:rsidRPr="007058EB">
        <w:rPr>
          <w:rFonts w:ascii="Times New Roman" w:eastAsia="仿宋_GB2312" w:hAnsi="Times New Roman"/>
          <w:sz w:val="32"/>
          <w:szCs w:val="32"/>
        </w:rPr>
        <w:t>）》、《金融担保法（</w:t>
      </w:r>
      <w:r w:rsidRPr="007058EB">
        <w:rPr>
          <w:rFonts w:ascii="Times New Roman" w:eastAsia="仿宋_GB2312" w:hAnsi="Times New Roman"/>
          <w:sz w:val="32"/>
          <w:szCs w:val="32"/>
        </w:rPr>
        <w:t>Lei das Garantias Financeiras</w:t>
      </w:r>
      <w:r w:rsidRPr="007058EB">
        <w:rPr>
          <w:rFonts w:ascii="Times New Roman" w:eastAsia="仿宋_GB2312" w:hAnsi="Times New Roman"/>
          <w:sz w:val="32"/>
          <w:szCs w:val="32"/>
        </w:rPr>
        <w:t>）》、《企业破产与复苏法（</w:t>
      </w:r>
      <w:r w:rsidRPr="007058EB">
        <w:rPr>
          <w:rFonts w:ascii="Times New Roman" w:eastAsia="仿宋_GB2312" w:hAnsi="Times New Roman"/>
          <w:sz w:val="32"/>
          <w:szCs w:val="32"/>
        </w:rPr>
        <w:t>Lei de Falências e Recuperação Judicial</w:t>
      </w:r>
      <w:r w:rsidRPr="007058EB">
        <w:rPr>
          <w:rFonts w:ascii="Times New Roman" w:eastAsia="仿宋_GB2312" w:hAnsi="Times New Roman"/>
          <w:sz w:val="32"/>
          <w:szCs w:val="32"/>
        </w:rPr>
        <w:t>）》等法典、法律，以及巴西央行及下属</w:t>
      </w:r>
      <w:r w:rsidRPr="007058EB">
        <w:rPr>
          <w:rFonts w:ascii="Times New Roman" w:eastAsia="仿宋_GB2312" w:hAnsi="Times New Roman"/>
          <w:sz w:val="32"/>
          <w:szCs w:val="32"/>
        </w:rPr>
        <w:lastRenderedPageBreak/>
        <w:t>国家货币委员会（</w:t>
      </w:r>
      <w:r w:rsidRPr="007058EB">
        <w:rPr>
          <w:rFonts w:ascii="Times New Roman" w:eastAsia="仿宋_GB2312" w:hAnsi="Times New Roman"/>
          <w:sz w:val="32"/>
          <w:szCs w:val="32"/>
        </w:rPr>
        <w:t>CMN</w:t>
      </w:r>
      <w:r w:rsidRPr="007058EB">
        <w:rPr>
          <w:rFonts w:ascii="Times New Roman" w:eastAsia="仿宋_GB2312" w:hAnsi="Times New Roman"/>
          <w:sz w:val="32"/>
          <w:szCs w:val="32"/>
        </w:rPr>
        <w:t>）、私人保险监管局（</w:t>
      </w:r>
      <w:r w:rsidRPr="007058EB">
        <w:rPr>
          <w:rFonts w:ascii="Times New Roman" w:eastAsia="仿宋_GB2312" w:hAnsi="Times New Roman"/>
          <w:sz w:val="32"/>
          <w:szCs w:val="32"/>
        </w:rPr>
        <w:t>SUSEP</w:t>
      </w:r>
      <w:r w:rsidRPr="007058EB">
        <w:rPr>
          <w:rFonts w:ascii="Times New Roman" w:eastAsia="仿宋_GB2312" w:hAnsi="Times New Roman"/>
          <w:sz w:val="32"/>
          <w:szCs w:val="32"/>
        </w:rPr>
        <w:t>）等行政规章中。</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（二）巴西担保体系</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总体来说，巴西的担保可以分为人保（</w:t>
      </w:r>
      <w:r w:rsidRPr="007058EB">
        <w:rPr>
          <w:rFonts w:ascii="Times New Roman" w:eastAsia="仿宋_GB2312" w:hAnsi="Times New Roman"/>
          <w:sz w:val="32"/>
          <w:szCs w:val="32"/>
        </w:rPr>
        <w:t>Garantias Pessoais</w:t>
      </w:r>
      <w:r w:rsidRPr="007058EB">
        <w:rPr>
          <w:rFonts w:ascii="Times New Roman" w:eastAsia="仿宋_GB2312" w:hAnsi="Times New Roman"/>
          <w:sz w:val="32"/>
          <w:szCs w:val="32"/>
        </w:rPr>
        <w:t>）和物保（</w:t>
      </w:r>
      <w:r w:rsidRPr="007058EB">
        <w:rPr>
          <w:rFonts w:ascii="Times New Roman" w:eastAsia="仿宋_GB2312" w:hAnsi="Times New Roman"/>
          <w:sz w:val="32"/>
          <w:szCs w:val="32"/>
        </w:rPr>
        <w:t>Garantias Reais</w:t>
      </w:r>
      <w:r w:rsidRPr="007058EB">
        <w:rPr>
          <w:rFonts w:ascii="Times New Roman" w:eastAsia="仿宋_GB2312" w:hAnsi="Times New Roman"/>
          <w:sz w:val="32"/>
          <w:szCs w:val="32"/>
        </w:rPr>
        <w:t>），物保主要指抵押、质押、典质，不在本文探讨范围内；而人保又分票据担保（</w:t>
      </w:r>
      <w:r w:rsidRPr="007058EB">
        <w:rPr>
          <w:rFonts w:ascii="Times New Roman" w:eastAsia="仿宋_GB2312" w:hAnsi="Times New Roman"/>
          <w:sz w:val="32"/>
          <w:szCs w:val="32"/>
        </w:rPr>
        <w:t>Aval</w:t>
      </w:r>
      <w:r w:rsidRPr="007058EB">
        <w:rPr>
          <w:rFonts w:ascii="Times New Roman" w:eastAsia="仿宋_GB2312" w:hAnsi="Times New Roman"/>
          <w:sz w:val="32"/>
          <w:szCs w:val="32"/>
        </w:rPr>
        <w:t>）和保证合同（</w:t>
      </w:r>
      <w:r w:rsidRPr="007058EB">
        <w:rPr>
          <w:rFonts w:ascii="Times New Roman" w:eastAsia="仿宋_GB2312" w:hAnsi="Times New Roman"/>
          <w:sz w:val="32"/>
          <w:szCs w:val="32"/>
        </w:rPr>
        <w:t>Fiança</w:t>
      </w:r>
      <w:r w:rsidRPr="007058EB">
        <w:rPr>
          <w:rFonts w:ascii="Times New Roman" w:eastAsia="仿宋_GB2312" w:hAnsi="Times New Roman"/>
          <w:sz w:val="32"/>
          <w:szCs w:val="32"/>
        </w:rPr>
        <w:t>）。其中</w:t>
      </w:r>
      <w:r w:rsidRPr="007058EB">
        <w:rPr>
          <w:rFonts w:ascii="Times New Roman" w:eastAsia="仿宋_GB2312" w:hAnsi="Times New Roman"/>
          <w:sz w:val="32"/>
          <w:szCs w:val="32"/>
        </w:rPr>
        <w:t>Fiança</w:t>
      </w:r>
      <w:r w:rsidRPr="007058EB">
        <w:rPr>
          <w:rFonts w:ascii="Times New Roman" w:eastAsia="仿宋_GB2312" w:hAnsi="Times New Roman"/>
          <w:sz w:val="32"/>
          <w:szCs w:val="32"/>
        </w:rPr>
        <w:t>和我国民法典中的</w:t>
      </w:r>
      <w:r w:rsidRPr="007058EB">
        <w:rPr>
          <w:rFonts w:ascii="Times New Roman" w:eastAsia="仿宋_GB2312" w:hAnsi="Times New Roman"/>
          <w:sz w:val="32"/>
          <w:szCs w:val="32"/>
        </w:rPr>
        <w:t>“</w:t>
      </w:r>
      <w:r w:rsidRPr="007058EB">
        <w:rPr>
          <w:rFonts w:ascii="Times New Roman" w:eastAsia="仿宋_GB2312" w:hAnsi="Times New Roman"/>
          <w:sz w:val="32"/>
          <w:szCs w:val="32"/>
        </w:rPr>
        <w:t>保证合同</w:t>
      </w:r>
      <w:r w:rsidRPr="007058EB">
        <w:rPr>
          <w:rFonts w:ascii="Times New Roman" w:eastAsia="仿宋_GB2312" w:hAnsi="Times New Roman"/>
          <w:sz w:val="32"/>
          <w:szCs w:val="32"/>
        </w:rPr>
        <w:t>”</w:t>
      </w:r>
      <w:r w:rsidRPr="007058EB">
        <w:rPr>
          <w:rFonts w:ascii="Times New Roman" w:eastAsia="仿宋_GB2312" w:hAnsi="Times New Roman"/>
          <w:sz w:val="32"/>
          <w:szCs w:val="32"/>
        </w:rPr>
        <w:t>概念最为近似，采用独立的书面合同，并明确约定保证范围与条件，广泛应用于租赁合同、银行贷款、个人贷款、商业交易、司法和行政程序等领域。在形式上，除了银行保函（</w:t>
      </w:r>
      <w:r w:rsidRPr="007058EB">
        <w:rPr>
          <w:rFonts w:ascii="Times New Roman" w:eastAsia="仿宋_GB2312" w:hAnsi="Times New Roman"/>
          <w:sz w:val="32"/>
          <w:szCs w:val="32"/>
        </w:rPr>
        <w:t>Carta de Fiança</w:t>
      </w:r>
      <w:r w:rsidRPr="007058EB">
        <w:rPr>
          <w:rFonts w:ascii="Times New Roman" w:eastAsia="仿宋_GB2312" w:hAnsi="Times New Roman"/>
          <w:sz w:val="32"/>
          <w:szCs w:val="32"/>
        </w:rPr>
        <w:t>或</w:t>
      </w:r>
      <w:r w:rsidRPr="007058EB">
        <w:rPr>
          <w:rFonts w:ascii="Times New Roman" w:eastAsia="仿宋_GB2312" w:hAnsi="Times New Roman"/>
          <w:sz w:val="32"/>
          <w:szCs w:val="32"/>
        </w:rPr>
        <w:t>Carta de Fiança Bancaria</w:t>
      </w:r>
      <w:r w:rsidRPr="007058EB">
        <w:rPr>
          <w:rFonts w:ascii="Times New Roman" w:eastAsia="仿宋_GB2312" w:hAnsi="Times New Roman"/>
          <w:sz w:val="32"/>
          <w:szCs w:val="32"/>
        </w:rPr>
        <w:t>）和备用信用证以外，由保险公司出具的保险担保（</w:t>
      </w:r>
      <w:r w:rsidRPr="007058EB">
        <w:rPr>
          <w:rFonts w:ascii="Times New Roman" w:eastAsia="仿宋_GB2312" w:hAnsi="Times New Roman"/>
          <w:sz w:val="32"/>
          <w:szCs w:val="32"/>
        </w:rPr>
        <w:t>Garantia de Seguro</w:t>
      </w:r>
      <w:r w:rsidRPr="007058EB">
        <w:rPr>
          <w:rFonts w:ascii="Times New Roman" w:eastAsia="仿宋_GB2312" w:hAnsi="Times New Roman"/>
          <w:sz w:val="32"/>
          <w:szCs w:val="32"/>
        </w:rPr>
        <w:t>）在一些特定行业或项目中，是银行保函的重要替代品。</w:t>
      </w:r>
    </w:p>
    <w:p w:rsidR="008445DB" w:rsidRPr="007058EB" w:rsidRDefault="008445DB" w:rsidP="008445DB">
      <w:pPr>
        <w:adjustRightInd w:val="0"/>
        <w:snapToGrid w:val="0"/>
        <w:spacing w:line="660" w:lineRule="exact"/>
        <w:ind w:left="640"/>
        <w:rPr>
          <w:rFonts w:ascii="Times New Roman" w:eastAsia="黑体" w:hAnsi="Times New Roman"/>
          <w:sz w:val="32"/>
          <w:szCs w:val="32"/>
        </w:rPr>
      </w:pPr>
      <w:r w:rsidRPr="007058EB">
        <w:rPr>
          <w:rFonts w:ascii="Times New Roman" w:eastAsia="黑体" w:hAnsi="Times New Roman"/>
          <w:sz w:val="32"/>
          <w:szCs w:val="32"/>
        </w:rPr>
        <w:t>二、区分普通保证与独立保函</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（一）保证合同（</w:t>
      </w:r>
      <w:r w:rsidRPr="007058EB">
        <w:rPr>
          <w:rFonts w:ascii="Times New Roman" w:eastAsia="楷体_GB2312" w:hAnsi="Times New Roman"/>
          <w:b/>
          <w:sz w:val="32"/>
          <w:szCs w:val="32"/>
        </w:rPr>
        <w:t>Fiança</w:t>
      </w:r>
      <w:r w:rsidRPr="007058EB">
        <w:rPr>
          <w:rFonts w:ascii="Times New Roman" w:eastAsia="楷体_GB2312" w:hAnsi="Times New Roman"/>
          <w:b/>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Fiança</w:t>
      </w:r>
      <w:r w:rsidRPr="007058EB">
        <w:rPr>
          <w:rFonts w:ascii="Times New Roman" w:eastAsia="仿宋_GB2312" w:hAnsi="Times New Roman"/>
          <w:sz w:val="32"/>
          <w:szCs w:val="32"/>
        </w:rPr>
        <w:t>是巴西最常见的担保方式之一，见载于巴西民法典</w:t>
      </w:r>
      <w:r w:rsidRPr="007058EB">
        <w:rPr>
          <w:rFonts w:ascii="Times New Roman" w:eastAsia="仿宋_GB2312" w:hAnsi="Times New Roman"/>
          <w:sz w:val="32"/>
          <w:szCs w:val="32"/>
        </w:rPr>
        <w:t>818</w:t>
      </w:r>
      <w:r w:rsidRPr="007058EB">
        <w:rPr>
          <w:rFonts w:ascii="Times New Roman" w:eastAsia="仿宋_GB2312" w:hAnsi="Times New Roman"/>
          <w:sz w:val="32"/>
          <w:szCs w:val="32"/>
        </w:rPr>
        <w:t>条至</w:t>
      </w:r>
      <w:r w:rsidRPr="007058EB">
        <w:rPr>
          <w:rFonts w:ascii="Times New Roman" w:eastAsia="仿宋_GB2312" w:hAnsi="Times New Roman"/>
          <w:sz w:val="32"/>
          <w:szCs w:val="32"/>
        </w:rPr>
        <w:t>839</w:t>
      </w:r>
      <w:r w:rsidRPr="007058EB">
        <w:rPr>
          <w:rFonts w:ascii="Times New Roman" w:eastAsia="仿宋_GB2312" w:hAnsi="Times New Roman"/>
          <w:sz w:val="32"/>
          <w:szCs w:val="32"/>
        </w:rPr>
        <w:t>条，性质属于从属性保证。通过对比中国民法典的</w:t>
      </w:r>
      <w:r w:rsidRPr="007058EB">
        <w:rPr>
          <w:rFonts w:ascii="Times New Roman" w:eastAsia="仿宋_GB2312" w:hAnsi="Times New Roman"/>
          <w:sz w:val="32"/>
          <w:szCs w:val="32"/>
        </w:rPr>
        <w:t>“</w:t>
      </w:r>
      <w:r w:rsidRPr="007058EB">
        <w:rPr>
          <w:rFonts w:ascii="Times New Roman" w:eastAsia="仿宋_GB2312" w:hAnsi="Times New Roman"/>
          <w:sz w:val="32"/>
          <w:szCs w:val="32"/>
        </w:rPr>
        <w:t>保证合同</w:t>
      </w:r>
      <w:r w:rsidRPr="007058EB">
        <w:rPr>
          <w:rFonts w:ascii="Times New Roman" w:eastAsia="仿宋_GB2312" w:hAnsi="Times New Roman"/>
          <w:sz w:val="32"/>
          <w:szCs w:val="32"/>
        </w:rPr>
        <w:t>”</w:t>
      </w:r>
      <w:r w:rsidRPr="007058EB">
        <w:rPr>
          <w:rFonts w:ascii="Times New Roman" w:eastAsia="仿宋_GB2312" w:hAnsi="Times New Roman"/>
          <w:sz w:val="32"/>
          <w:szCs w:val="32"/>
        </w:rPr>
        <w:t>，发现两者在基本面上存在大量相似之处，包括：均承认保证合同从属性原则；均要求保证合同采用书面形式订立；均承认并区分一般保证和连带责任保证；均承认先诉抗辩权和保证人追偿权等等。核心不同点有：</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lastRenderedPageBreak/>
        <w:t>1.</w:t>
      </w:r>
      <w:r w:rsidRPr="007058EB">
        <w:rPr>
          <w:rFonts w:ascii="Times New Roman" w:eastAsia="仿宋_GB2312" w:hAnsi="Times New Roman"/>
          <w:sz w:val="32"/>
          <w:szCs w:val="32"/>
        </w:rPr>
        <w:t>关于</w:t>
      </w:r>
      <w:r w:rsidRPr="007058EB">
        <w:rPr>
          <w:rFonts w:ascii="Times New Roman" w:eastAsia="仿宋_GB2312" w:hAnsi="Times New Roman"/>
          <w:sz w:val="32"/>
          <w:szCs w:val="32"/>
        </w:rPr>
        <w:t>“</w:t>
      </w:r>
      <w:r w:rsidRPr="007058EB">
        <w:rPr>
          <w:rFonts w:ascii="Times New Roman" w:eastAsia="仿宋_GB2312" w:hAnsi="Times New Roman"/>
          <w:sz w:val="32"/>
          <w:szCs w:val="32"/>
        </w:rPr>
        <w:t>债权人怠于行使权利</w:t>
      </w:r>
      <w:r w:rsidRPr="007058EB">
        <w:rPr>
          <w:rFonts w:ascii="Times New Roman" w:eastAsia="仿宋_GB2312" w:hAnsi="Times New Roman"/>
          <w:sz w:val="32"/>
          <w:szCs w:val="32"/>
        </w:rPr>
        <w:t>”</w:t>
      </w:r>
      <w:r w:rsidRPr="007058EB">
        <w:rPr>
          <w:rFonts w:ascii="Times New Roman" w:eastAsia="仿宋_GB2312" w:hAnsi="Times New Roman"/>
          <w:sz w:val="32"/>
          <w:szCs w:val="32"/>
        </w:rPr>
        <w:t>时的规定不同。巴西民法典第</w:t>
      </w:r>
      <w:r w:rsidRPr="007058EB">
        <w:rPr>
          <w:rFonts w:ascii="Times New Roman" w:eastAsia="仿宋_GB2312" w:hAnsi="Times New Roman"/>
          <w:sz w:val="32"/>
          <w:szCs w:val="32"/>
        </w:rPr>
        <w:t>834</w:t>
      </w:r>
      <w:r w:rsidRPr="007058EB">
        <w:rPr>
          <w:rFonts w:ascii="Times New Roman" w:eastAsia="仿宋_GB2312" w:hAnsi="Times New Roman"/>
          <w:sz w:val="32"/>
          <w:szCs w:val="32"/>
        </w:rPr>
        <w:t>条规定，若债权人无正当理由拖延对债务人的执行程序，保证人可要求其推进程序。不同于巴西法律赋予债权人</w:t>
      </w:r>
      <w:r w:rsidRPr="007058EB">
        <w:rPr>
          <w:rFonts w:ascii="Times New Roman" w:eastAsia="仿宋_GB2312" w:hAnsi="Times New Roman"/>
          <w:sz w:val="32"/>
          <w:szCs w:val="32"/>
        </w:rPr>
        <w:t>“</w:t>
      </w:r>
      <w:r w:rsidRPr="007058EB">
        <w:rPr>
          <w:rFonts w:ascii="Times New Roman" w:eastAsia="仿宋_GB2312" w:hAnsi="Times New Roman"/>
          <w:sz w:val="32"/>
          <w:szCs w:val="32"/>
        </w:rPr>
        <w:t>监督权</w:t>
      </w:r>
      <w:r w:rsidRPr="007058EB">
        <w:rPr>
          <w:rFonts w:ascii="Times New Roman" w:eastAsia="仿宋_GB2312" w:hAnsi="Times New Roman"/>
          <w:sz w:val="32"/>
          <w:szCs w:val="32"/>
        </w:rPr>
        <w:t>”</w:t>
      </w:r>
      <w:r w:rsidRPr="007058EB">
        <w:rPr>
          <w:rFonts w:ascii="Times New Roman" w:eastAsia="仿宋_GB2312" w:hAnsi="Times New Roman"/>
          <w:sz w:val="32"/>
          <w:szCs w:val="32"/>
        </w:rPr>
        <w:t>的程序性权利，中国民法则是通过规定不利后果来约束债权人（</w:t>
      </w:r>
      <w:r w:rsidRPr="007058EB">
        <w:rPr>
          <w:rFonts w:ascii="Times New Roman" w:eastAsia="仿宋_GB2312" w:hAnsi="Times New Roman"/>
          <w:sz w:val="32"/>
          <w:szCs w:val="32"/>
        </w:rPr>
        <w:t>409</w:t>
      </w:r>
      <w:r w:rsidRPr="007058EB">
        <w:rPr>
          <w:rFonts w:ascii="Times New Roman" w:eastAsia="仿宋_GB2312" w:hAnsi="Times New Roman"/>
          <w:sz w:val="32"/>
          <w:szCs w:val="32"/>
        </w:rPr>
        <w:t>、</w:t>
      </w:r>
      <w:r w:rsidRPr="007058EB">
        <w:rPr>
          <w:rFonts w:ascii="Times New Roman" w:eastAsia="仿宋_GB2312" w:hAnsi="Times New Roman"/>
          <w:sz w:val="32"/>
          <w:szCs w:val="32"/>
        </w:rPr>
        <w:t>435</w:t>
      </w:r>
      <w:r w:rsidRPr="007058EB">
        <w:rPr>
          <w:rFonts w:ascii="Times New Roman" w:eastAsia="仿宋_GB2312" w:hAnsi="Times New Roman"/>
          <w:sz w:val="32"/>
          <w:szCs w:val="32"/>
        </w:rPr>
        <w:t>、</w:t>
      </w:r>
      <w:r w:rsidRPr="007058EB">
        <w:rPr>
          <w:rFonts w:ascii="Times New Roman" w:eastAsia="仿宋_GB2312" w:hAnsi="Times New Roman"/>
          <w:sz w:val="32"/>
          <w:szCs w:val="32"/>
        </w:rPr>
        <w:t>698</w:t>
      </w:r>
      <w:r w:rsidRPr="007058EB">
        <w:rPr>
          <w:rFonts w:ascii="Times New Roman" w:eastAsia="仿宋_GB2312" w:hAnsi="Times New Roman"/>
          <w:sz w:val="32"/>
          <w:szCs w:val="32"/>
        </w:rPr>
        <w:t>、</w:t>
      </w:r>
      <w:r w:rsidRPr="007058EB">
        <w:rPr>
          <w:rFonts w:ascii="Times New Roman" w:eastAsia="仿宋_GB2312" w:hAnsi="Times New Roman"/>
          <w:sz w:val="32"/>
          <w:szCs w:val="32"/>
        </w:rPr>
        <w:t>700</w:t>
      </w:r>
      <w:r w:rsidRPr="007058EB">
        <w:rPr>
          <w:rFonts w:ascii="Times New Roman" w:eastAsia="仿宋_GB2312" w:hAnsi="Times New Roman"/>
          <w:sz w:val="32"/>
          <w:szCs w:val="32"/>
        </w:rPr>
        <w:t>条等），从而对保证人提供保护。</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2.</w:t>
      </w:r>
      <w:r w:rsidRPr="007058EB">
        <w:rPr>
          <w:rFonts w:ascii="Times New Roman" w:eastAsia="仿宋_GB2312" w:hAnsi="Times New Roman"/>
          <w:sz w:val="32"/>
          <w:szCs w:val="32"/>
        </w:rPr>
        <w:t>关于保证人的拒绝和更换。巴西民法典第</w:t>
      </w:r>
      <w:r w:rsidRPr="007058EB">
        <w:rPr>
          <w:rFonts w:ascii="Times New Roman" w:eastAsia="仿宋_GB2312" w:hAnsi="Times New Roman"/>
          <w:sz w:val="32"/>
          <w:szCs w:val="32"/>
        </w:rPr>
        <w:t>825</w:t>
      </w:r>
      <w:r w:rsidRPr="007058EB">
        <w:rPr>
          <w:rFonts w:ascii="Times New Roman" w:eastAsia="仿宋_GB2312" w:hAnsi="Times New Roman"/>
          <w:sz w:val="32"/>
          <w:szCs w:val="32"/>
        </w:rPr>
        <w:t>条规定，当需提供保证人时，若保证人不具备相应资格（如未在需提供保证地拥有住所，或无足够财产履行债务），债权人有权拒绝接受该保证人；第</w:t>
      </w:r>
      <w:r w:rsidRPr="007058EB">
        <w:rPr>
          <w:rFonts w:ascii="Times New Roman" w:eastAsia="仿宋_GB2312" w:hAnsi="Times New Roman"/>
          <w:sz w:val="32"/>
          <w:szCs w:val="32"/>
        </w:rPr>
        <w:t>826</w:t>
      </w:r>
      <w:r w:rsidRPr="007058EB">
        <w:rPr>
          <w:rFonts w:ascii="Times New Roman" w:eastAsia="仿宋_GB2312" w:hAnsi="Times New Roman"/>
          <w:sz w:val="32"/>
          <w:szCs w:val="32"/>
        </w:rPr>
        <w:t>条规定，若保证人丧失清偿能力或无行为能力，债权人可要求更换保证人。而中国法律主要从保证人主体资格出发，如民法典</w:t>
      </w:r>
      <w:r w:rsidRPr="007058EB">
        <w:rPr>
          <w:rFonts w:ascii="Times New Roman" w:eastAsia="仿宋_GB2312" w:hAnsi="Times New Roman"/>
          <w:sz w:val="32"/>
          <w:szCs w:val="32"/>
        </w:rPr>
        <w:t>683</w:t>
      </w:r>
      <w:r w:rsidRPr="007058EB">
        <w:rPr>
          <w:rFonts w:ascii="Times New Roman" w:eastAsia="仿宋_GB2312" w:hAnsi="Times New Roman"/>
          <w:sz w:val="32"/>
          <w:szCs w:val="32"/>
        </w:rPr>
        <w:t>条约定哪些主体不得为保证人，而非赋予债权人主动拒绝权；且一旦保证合同成立，债权人往往不能单方面更换保证人。</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3.</w:t>
      </w:r>
      <w:r w:rsidRPr="007058EB">
        <w:rPr>
          <w:rFonts w:ascii="Times New Roman" w:eastAsia="仿宋_GB2312" w:hAnsi="Times New Roman"/>
          <w:sz w:val="32"/>
          <w:szCs w:val="32"/>
        </w:rPr>
        <w:t>关于担保人免责条件。巴西民法典第</w:t>
      </w:r>
      <w:r w:rsidRPr="007058EB">
        <w:rPr>
          <w:rFonts w:ascii="Times New Roman" w:eastAsia="仿宋_GB2312" w:hAnsi="Times New Roman"/>
          <w:sz w:val="32"/>
          <w:szCs w:val="32"/>
        </w:rPr>
        <w:t>839</w:t>
      </w:r>
      <w:r w:rsidRPr="007058EB">
        <w:rPr>
          <w:rFonts w:ascii="Times New Roman" w:eastAsia="仿宋_GB2312" w:hAnsi="Times New Roman"/>
          <w:sz w:val="32"/>
          <w:szCs w:val="32"/>
        </w:rPr>
        <w:t>条规定，若保证人行使先诉抗辩权后，因债务人拖延执行而丧失清偿能力，且保证人能证明其主张抗辩权时指明的财产当时足以清偿保证债务，则该保证人免除保证责任。中国民法典框架下，则需要保证人举证债权人存在过错来寻求责任减免，且最终是否免责或减责依赖法院裁量。</w:t>
      </w:r>
    </w:p>
    <w:p w:rsidR="008445DB" w:rsidRPr="007058EB" w:rsidRDefault="008445DB" w:rsidP="008445DB">
      <w:pPr>
        <w:adjustRightInd w:val="0"/>
        <w:snapToGrid w:val="0"/>
        <w:spacing w:line="660" w:lineRule="exact"/>
        <w:rPr>
          <w:rFonts w:ascii="Times New Roman" w:eastAsia="仿宋_GB2312" w:hAnsi="Times New Roman"/>
          <w:sz w:val="32"/>
          <w:szCs w:val="32"/>
        </w:rPr>
      </w:pPr>
      <w:r w:rsidRPr="007058EB">
        <w:rPr>
          <w:rFonts w:ascii="Times New Roman" w:eastAsia="仿宋_GB2312" w:hAnsi="Times New Roman"/>
          <w:sz w:val="32"/>
          <w:szCs w:val="32"/>
        </w:rPr>
        <w:t>总体而言，两国保证制度的核心相似，但巴西的规定包含了</w:t>
      </w:r>
      <w:r w:rsidRPr="007058EB">
        <w:rPr>
          <w:rFonts w:ascii="Times New Roman" w:eastAsia="仿宋_GB2312" w:hAnsi="Times New Roman"/>
          <w:sz w:val="32"/>
          <w:szCs w:val="32"/>
        </w:rPr>
        <w:lastRenderedPageBreak/>
        <w:t>许多程序性规则和特殊的权利义务安排，而中国的规定则原则性和概括性更强，在司法实践中需结合具体案件判断。</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（二）独立保函</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巴西法律并未单独规定独立保函的情形，但尊重当事人之间的意思自治。《巴西民法典》第</w:t>
      </w:r>
      <w:r w:rsidRPr="007058EB">
        <w:rPr>
          <w:rFonts w:ascii="Times New Roman" w:eastAsia="仿宋_GB2312" w:hAnsi="Times New Roman"/>
          <w:sz w:val="32"/>
          <w:szCs w:val="32"/>
        </w:rPr>
        <w:t>421</w:t>
      </w:r>
      <w:r w:rsidRPr="007058EB">
        <w:rPr>
          <w:rFonts w:ascii="Times New Roman" w:eastAsia="仿宋_GB2312" w:hAnsi="Times New Roman"/>
          <w:sz w:val="32"/>
          <w:szCs w:val="32"/>
        </w:rPr>
        <w:t>条确立了</w:t>
      </w:r>
      <w:r w:rsidRPr="007058EB">
        <w:rPr>
          <w:rFonts w:ascii="Times New Roman" w:eastAsia="仿宋_GB2312" w:hAnsi="Times New Roman"/>
          <w:sz w:val="32"/>
          <w:szCs w:val="32"/>
        </w:rPr>
        <w:t>“</w:t>
      </w:r>
      <w:r w:rsidRPr="007058EB">
        <w:rPr>
          <w:rFonts w:ascii="Times New Roman" w:eastAsia="仿宋_GB2312" w:hAnsi="Times New Roman"/>
          <w:sz w:val="32"/>
          <w:szCs w:val="32"/>
        </w:rPr>
        <w:t>合同自由原则</w:t>
      </w:r>
      <w:r w:rsidRPr="007058EB">
        <w:rPr>
          <w:rFonts w:ascii="Times New Roman" w:eastAsia="仿宋_GB2312" w:hAnsi="Times New Roman"/>
          <w:sz w:val="32"/>
          <w:szCs w:val="32"/>
        </w:rPr>
        <w:t>”</w:t>
      </w:r>
      <w:r w:rsidRPr="007058EB">
        <w:rPr>
          <w:rFonts w:ascii="Times New Roman" w:eastAsia="仿宋_GB2312" w:hAnsi="Times New Roman"/>
          <w:sz w:val="32"/>
          <w:szCs w:val="32"/>
        </w:rPr>
        <w:t>，规定</w:t>
      </w:r>
      <w:r w:rsidRPr="007058EB">
        <w:rPr>
          <w:rFonts w:ascii="Times New Roman" w:eastAsia="仿宋_GB2312" w:hAnsi="Times New Roman"/>
          <w:sz w:val="32"/>
          <w:szCs w:val="32"/>
        </w:rPr>
        <w:t>“</w:t>
      </w:r>
      <w:r w:rsidRPr="007058EB">
        <w:rPr>
          <w:rFonts w:ascii="Times New Roman" w:eastAsia="仿宋_GB2312" w:hAnsi="Times New Roman"/>
          <w:sz w:val="32"/>
          <w:szCs w:val="32"/>
        </w:rPr>
        <w:t>合同自由应在合同社会功能的限度内行使</w:t>
      </w:r>
      <w:r w:rsidRPr="007058EB">
        <w:rPr>
          <w:rFonts w:ascii="Times New Roman" w:eastAsia="仿宋_GB2312" w:hAnsi="Times New Roman"/>
          <w:sz w:val="32"/>
          <w:szCs w:val="32"/>
        </w:rPr>
        <w:t>”</w:t>
      </w:r>
      <w:r w:rsidRPr="007058EB">
        <w:rPr>
          <w:rFonts w:ascii="Times New Roman" w:eastAsia="仿宋_GB2312" w:hAnsi="Times New Roman"/>
          <w:sz w:val="32"/>
          <w:szCs w:val="32"/>
        </w:rPr>
        <w:t>。此外，巴西法律允许当事人在合同中约定管辖权。巴西《民事诉讼法典》规定，国际合同中缔约方有权选择外国管辖权（不含不动产纠纷等排他性领域）。这些都为当事人使用独立保函提供了法律空间。理论上，尽管银行保函通常以</w:t>
      </w:r>
      <w:r w:rsidRPr="007058EB">
        <w:rPr>
          <w:rFonts w:ascii="Times New Roman" w:eastAsia="仿宋_GB2312" w:hAnsi="Times New Roman"/>
          <w:sz w:val="32"/>
          <w:szCs w:val="32"/>
        </w:rPr>
        <w:t>“Carta de Fiança”</w:t>
      </w:r>
      <w:r w:rsidRPr="007058EB">
        <w:rPr>
          <w:rFonts w:ascii="Times New Roman" w:eastAsia="仿宋_GB2312" w:hAnsi="Times New Roman"/>
          <w:sz w:val="32"/>
          <w:szCs w:val="32"/>
        </w:rPr>
        <w:t>或</w:t>
      </w:r>
      <w:r w:rsidRPr="007058EB">
        <w:rPr>
          <w:rFonts w:ascii="Times New Roman" w:eastAsia="仿宋_GB2312" w:hAnsi="Times New Roman"/>
          <w:sz w:val="32"/>
          <w:szCs w:val="32"/>
        </w:rPr>
        <w:t>“Carta de Fiança Bancaria”</w:t>
      </w:r>
      <w:r w:rsidRPr="007058EB">
        <w:rPr>
          <w:rFonts w:ascii="Times New Roman" w:eastAsia="仿宋_GB2312" w:hAnsi="Times New Roman"/>
          <w:sz w:val="32"/>
          <w:szCs w:val="32"/>
        </w:rPr>
        <w:t>这类从属性担保命名，还是可以约定适用国际惯例。</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值得注意的是，</w:t>
      </w:r>
      <w:r w:rsidRPr="007058EB">
        <w:rPr>
          <w:rFonts w:ascii="Times New Roman" w:eastAsia="仿宋_GB2312" w:hAnsi="Times New Roman"/>
          <w:sz w:val="32"/>
          <w:szCs w:val="32"/>
        </w:rPr>
        <w:t>URDG758</w:t>
      </w:r>
      <w:r w:rsidRPr="007058EB">
        <w:rPr>
          <w:rFonts w:ascii="Times New Roman" w:eastAsia="仿宋_GB2312" w:hAnsi="Times New Roman"/>
          <w:sz w:val="32"/>
          <w:szCs w:val="32"/>
        </w:rPr>
        <w:t>、</w:t>
      </w:r>
      <w:r w:rsidRPr="007058EB">
        <w:rPr>
          <w:rFonts w:ascii="Times New Roman" w:eastAsia="仿宋_GB2312" w:hAnsi="Times New Roman"/>
          <w:sz w:val="32"/>
          <w:szCs w:val="32"/>
        </w:rPr>
        <w:t>ISP98</w:t>
      </w:r>
      <w:r w:rsidRPr="007058EB">
        <w:rPr>
          <w:rFonts w:ascii="Times New Roman" w:eastAsia="仿宋_GB2312" w:hAnsi="Times New Roman"/>
          <w:sz w:val="32"/>
          <w:szCs w:val="32"/>
        </w:rPr>
        <w:t>在巴西司法实践中的直接引用和解释案例相对较少，也较难找到完全适用国际惯例的</w:t>
      </w:r>
      <w:r w:rsidRPr="007058EB">
        <w:rPr>
          <w:rFonts w:ascii="Times New Roman" w:eastAsia="仿宋_GB2312" w:hAnsi="Times New Roman"/>
          <w:sz w:val="32"/>
          <w:szCs w:val="32"/>
        </w:rPr>
        <w:t>“</w:t>
      </w:r>
      <w:r w:rsidRPr="007058EB">
        <w:rPr>
          <w:rFonts w:ascii="Times New Roman" w:eastAsia="仿宋_GB2312" w:hAnsi="Times New Roman"/>
          <w:sz w:val="32"/>
          <w:szCs w:val="32"/>
        </w:rPr>
        <w:t>独立保函</w:t>
      </w:r>
      <w:r w:rsidRPr="007058EB">
        <w:rPr>
          <w:rFonts w:ascii="Times New Roman" w:eastAsia="仿宋_GB2312" w:hAnsi="Times New Roman"/>
          <w:sz w:val="32"/>
          <w:szCs w:val="32"/>
        </w:rPr>
        <w:t>”</w:t>
      </w:r>
      <w:r w:rsidRPr="007058EB">
        <w:rPr>
          <w:rFonts w:ascii="Times New Roman" w:eastAsia="仿宋_GB2312" w:hAnsi="Times New Roman"/>
          <w:sz w:val="32"/>
          <w:szCs w:val="32"/>
        </w:rPr>
        <w:t>的司法判例。</w:t>
      </w:r>
    </w:p>
    <w:p w:rsidR="008445DB" w:rsidRPr="007058EB" w:rsidRDefault="008445DB" w:rsidP="008445DB">
      <w:pPr>
        <w:adjustRightInd w:val="0"/>
        <w:snapToGrid w:val="0"/>
        <w:spacing w:line="660" w:lineRule="exact"/>
        <w:ind w:left="640"/>
        <w:rPr>
          <w:rFonts w:ascii="Times New Roman" w:eastAsia="黑体" w:hAnsi="Times New Roman"/>
          <w:sz w:val="32"/>
          <w:szCs w:val="32"/>
        </w:rPr>
      </w:pPr>
      <w:r w:rsidRPr="007058EB">
        <w:rPr>
          <w:rFonts w:ascii="Times New Roman" w:eastAsia="黑体" w:hAnsi="Times New Roman"/>
          <w:sz w:val="32"/>
          <w:szCs w:val="32"/>
        </w:rPr>
        <w:t>三、司法判例研究：伊塔乌联合银行案</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下文通过一则案例分析巴西法院如何在</w:t>
      </w:r>
      <w:r w:rsidRPr="007058EB">
        <w:rPr>
          <w:rFonts w:ascii="Times New Roman" w:eastAsia="仿宋_GB2312" w:hAnsi="Times New Roman"/>
          <w:sz w:val="32"/>
          <w:szCs w:val="32"/>
        </w:rPr>
        <w:t>“</w:t>
      </w:r>
      <w:r w:rsidRPr="007058EB">
        <w:rPr>
          <w:rFonts w:ascii="Times New Roman" w:eastAsia="仿宋_GB2312" w:hAnsi="Times New Roman"/>
          <w:sz w:val="32"/>
          <w:szCs w:val="32"/>
        </w:rPr>
        <w:t>合同自由</w:t>
      </w:r>
      <w:r w:rsidRPr="007058EB">
        <w:rPr>
          <w:rFonts w:ascii="Times New Roman" w:eastAsia="仿宋_GB2312" w:hAnsi="Times New Roman"/>
          <w:sz w:val="32"/>
          <w:szCs w:val="32"/>
        </w:rPr>
        <w:t>”</w:t>
      </w:r>
      <w:r w:rsidRPr="007058EB">
        <w:rPr>
          <w:rFonts w:ascii="Times New Roman" w:eastAsia="仿宋_GB2312" w:hAnsi="Times New Roman"/>
          <w:sz w:val="32"/>
          <w:szCs w:val="32"/>
        </w:rPr>
        <w:t>与</w:t>
      </w:r>
      <w:r w:rsidRPr="007058EB">
        <w:rPr>
          <w:rFonts w:ascii="Times New Roman" w:eastAsia="仿宋_GB2312" w:hAnsi="Times New Roman"/>
          <w:sz w:val="32"/>
          <w:szCs w:val="32"/>
        </w:rPr>
        <w:t>“</w:t>
      </w:r>
      <w:r w:rsidRPr="007058EB">
        <w:rPr>
          <w:rFonts w:ascii="Times New Roman" w:eastAsia="仿宋_GB2312" w:hAnsi="Times New Roman"/>
          <w:sz w:val="32"/>
          <w:szCs w:val="32"/>
        </w:rPr>
        <w:t>司法干预</w:t>
      </w:r>
      <w:r w:rsidRPr="007058EB">
        <w:rPr>
          <w:rFonts w:ascii="Times New Roman" w:eastAsia="仿宋_GB2312" w:hAnsi="Times New Roman"/>
          <w:sz w:val="32"/>
          <w:szCs w:val="32"/>
        </w:rPr>
        <w:t>”</w:t>
      </w:r>
      <w:r w:rsidRPr="007058EB">
        <w:rPr>
          <w:rFonts w:ascii="Times New Roman" w:eastAsia="仿宋_GB2312" w:hAnsi="Times New Roman"/>
          <w:sz w:val="32"/>
          <w:szCs w:val="32"/>
        </w:rPr>
        <w:t>之间进行权衡，其判决逻辑对理解巴西担保法律环境具有重要参考价值。</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（一）案件介绍</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1.</w:t>
      </w:r>
      <w:r w:rsidRPr="007058EB">
        <w:rPr>
          <w:rFonts w:ascii="Times New Roman" w:eastAsia="仿宋_GB2312" w:hAnsi="Times New Roman"/>
          <w:sz w:val="32"/>
          <w:szCs w:val="32"/>
        </w:rPr>
        <w:t>案件当事人</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lastRenderedPageBreak/>
        <w:t>案件编号：</w:t>
      </w:r>
      <w:r w:rsidRPr="007058EB">
        <w:rPr>
          <w:rFonts w:ascii="Times New Roman" w:eastAsia="仿宋_GB2312" w:hAnsi="Times New Roman"/>
          <w:sz w:val="32"/>
          <w:szCs w:val="32"/>
        </w:rPr>
        <w:t>REsp nº 1963324-AM</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银行：巴西伊塔乌联合银行（</w:t>
      </w:r>
      <w:r w:rsidRPr="007058EB">
        <w:rPr>
          <w:rFonts w:ascii="Times New Roman" w:eastAsia="仿宋_GB2312" w:hAnsi="Times New Roman"/>
          <w:sz w:val="32"/>
          <w:szCs w:val="32"/>
        </w:rPr>
        <w:t>Itaú Unibanco S.A.</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公司：巴西</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w:t>
      </w:r>
      <w:r w:rsidRPr="007058EB">
        <w:rPr>
          <w:rFonts w:ascii="Times New Roman" w:eastAsia="仿宋_GB2312" w:hAnsi="Times New Roman"/>
          <w:sz w:val="32"/>
          <w:szCs w:val="32"/>
        </w:rPr>
        <w:t>AJL Indústria e Comércio Ltda</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供应商：巴西</w:t>
      </w:r>
      <w:r w:rsidRPr="007058EB">
        <w:rPr>
          <w:rFonts w:ascii="Times New Roman" w:eastAsia="仿宋_GB2312" w:hAnsi="Times New Roman"/>
          <w:sz w:val="32"/>
          <w:szCs w:val="32"/>
        </w:rPr>
        <w:t>Nordyne</w:t>
      </w:r>
      <w:r w:rsidRPr="007058EB">
        <w:rPr>
          <w:rFonts w:ascii="Times New Roman" w:eastAsia="仿宋_GB2312" w:hAnsi="Times New Roman"/>
          <w:sz w:val="32"/>
          <w:szCs w:val="32"/>
        </w:rPr>
        <w:t>公司</w:t>
      </w:r>
      <w:r w:rsidRPr="007058EB">
        <w:rPr>
          <w:rFonts w:ascii="Times New Roman" w:eastAsia="仿宋_GB2312" w:hAnsi="Times New Roman"/>
          <w:sz w:val="32"/>
          <w:szCs w:val="32"/>
        </w:rPr>
        <w:t xml:space="preserve"> </w:t>
      </w:r>
      <w:r w:rsidRPr="007058EB">
        <w:rPr>
          <w:rFonts w:ascii="Times New Roman" w:eastAsia="仿宋_GB2312" w:hAnsi="Times New Roman"/>
          <w:sz w:val="32"/>
          <w:szCs w:val="32"/>
        </w:rPr>
        <w:t>（</w:t>
      </w:r>
      <w:r w:rsidRPr="007058EB">
        <w:rPr>
          <w:rFonts w:ascii="Times New Roman" w:eastAsia="仿宋_GB2312" w:hAnsi="Times New Roman"/>
          <w:sz w:val="32"/>
          <w:szCs w:val="32"/>
        </w:rPr>
        <w:t>Nordyne do Brasil Distribuidora de Ar Condicionado Ltda.</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保兑行：</w:t>
      </w:r>
      <w:r w:rsidRPr="007058EB">
        <w:rPr>
          <w:rFonts w:ascii="Times New Roman" w:eastAsia="仿宋_GB2312" w:hAnsi="Times New Roman"/>
          <w:sz w:val="32"/>
          <w:szCs w:val="32"/>
        </w:rPr>
        <w:t>Scotiabank</w:t>
      </w:r>
      <w:r w:rsidRPr="007058EB">
        <w:rPr>
          <w:rFonts w:ascii="Times New Roman" w:eastAsia="仿宋_GB2312" w:hAnsi="Times New Roman"/>
          <w:sz w:val="32"/>
          <w:szCs w:val="32"/>
        </w:rPr>
        <w:t>银行（巴西境外银行）</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2.</w:t>
      </w:r>
      <w:r w:rsidRPr="007058EB">
        <w:rPr>
          <w:rFonts w:ascii="Times New Roman" w:eastAsia="仿宋_GB2312" w:hAnsi="Times New Roman"/>
          <w:sz w:val="32"/>
          <w:szCs w:val="32"/>
        </w:rPr>
        <w:t>案件经过</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巴西</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公司与巴西供应商</w:t>
      </w:r>
      <w:r w:rsidRPr="007058EB">
        <w:rPr>
          <w:rFonts w:ascii="Times New Roman" w:eastAsia="仿宋_GB2312" w:hAnsi="Times New Roman"/>
          <w:sz w:val="32"/>
          <w:szCs w:val="32"/>
        </w:rPr>
        <w:t>Nordyne</w:t>
      </w:r>
      <w:r w:rsidRPr="007058EB">
        <w:rPr>
          <w:rFonts w:ascii="Times New Roman" w:eastAsia="仿宋_GB2312" w:hAnsi="Times New Roman"/>
          <w:sz w:val="32"/>
          <w:szCs w:val="32"/>
        </w:rPr>
        <w:t>签订采购合同，由巴西伊塔乌联合银行出具备用信用证进行担保，保兑行为</w:t>
      </w:r>
      <w:r w:rsidRPr="007058EB">
        <w:rPr>
          <w:rFonts w:ascii="Times New Roman" w:eastAsia="仿宋_GB2312" w:hAnsi="Times New Roman"/>
          <w:sz w:val="32"/>
          <w:szCs w:val="32"/>
        </w:rPr>
        <w:t>Scotiabank</w:t>
      </w:r>
      <w:r w:rsidRPr="007058EB">
        <w:rPr>
          <w:rFonts w:ascii="Times New Roman" w:eastAsia="仿宋_GB2312" w:hAnsi="Times New Roman"/>
          <w:sz w:val="32"/>
          <w:szCs w:val="32"/>
        </w:rPr>
        <w:t>银行，备证适用</w:t>
      </w:r>
      <w:r w:rsidRPr="007058EB">
        <w:rPr>
          <w:rFonts w:ascii="Times New Roman" w:eastAsia="仿宋_GB2312" w:hAnsi="Times New Roman"/>
          <w:sz w:val="32"/>
          <w:szCs w:val="32"/>
        </w:rPr>
        <w:t>ISP98</w:t>
      </w:r>
      <w:r w:rsidRPr="007058EB">
        <w:rPr>
          <w:rFonts w:ascii="Times New Roman" w:eastAsia="仿宋_GB2312" w:hAnsi="Times New Roman"/>
          <w:sz w:val="32"/>
          <w:szCs w:val="32"/>
        </w:rPr>
        <w:t>和巴西法律。后</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公司与</w:t>
      </w:r>
      <w:r w:rsidRPr="007058EB">
        <w:rPr>
          <w:rFonts w:ascii="Times New Roman" w:eastAsia="仿宋_GB2312" w:hAnsi="Times New Roman"/>
          <w:sz w:val="32"/>
          <w:szCs w:val="32"/>
        </w:rPr>
        <w:t>Nordyne</w:t>
      </w:r>
      <w:r w:rsidRPr="007058EB">
        <w:rPr>
          <w:rFonts w:ascii="Times New Roman" w:eastAsia="仿宋_GB2312" w:hAnsi="Times New Roman"/>
          <w:sz w:val="32"/>
          <w:szCs w:val="32"/>
        </w:rPr>
        <w:t>就合同履行产生争议（判决书未提及涉及欺诈情形），</w:t>
      </w:r>
      <w:r w:rsidRPr="007058EB">
        <w:rPr>
          <w:rFonts w:ascii="Times New Roman" w:eastAsia="仿宋_GB2312" w:hAnsi="Times New Roman"/>
          <w:sz w:val="32"/>
          <w:szCs w:val="32"/>
        </w:rPr>
        <w:t>Nordyne</w:t>
      </w:r>
      <w:r w:rsidRPr="007058EB">
        <w:rPr>
          <w:rFonts w:ascii="Times New Roman" w:eastAsia="仿宋_GB2312" w:hAnsi="Times New Roman"/>
          <w:sz w:val="32"/>
          <w:szCs w:val="32"/>
        </w:rPr>
        <w:t>试图执行担保，但</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公司通过诉讼获得巴西法院止付令，禁止伊塔乌银行赔付（后由保兑行完成赔付）。在上述止付令生效期间，</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公司参与了新的政府采购招标，需要银行为其新的业务出具新的担保。但银行以</w:t>
      </w:r>
      <w:r w:rsidRPr="007058EB">
        <w:rPr>
          <w:rFonts w:ascii="Times New Roman" w:eastAsia="仿宋_GB2312" w:hAnsi="Times New Roman"/>
          <w:sz w:val="32"/>
          <w:szCs w:val="32"/>
        </w:rPr>
        <w:t>“</w:t>
      </w:r>
      <w:r w:rsidRPr="007058EB">
        <w:rPr>
          <w:rFonts w:ascii="Times New Roman" w:eastAsia="仿宋_GB2312" w:hAnsi="Times New Roman"/>
          <w:sz w:val="32"/>
          <w:szCs w:val="32"/>
        </w:rPr>
        <w:t>保兑行已实际赔付，原担保关系已解除</w:t>
      </w:r>
      <w:r w:rsidRPr="007058EB">
        <w:rPr>
          <w:rFonts w:ascii="Times New Roman" w:eastAsia="仿宋_GB2312" w:hAnsi="Times New Roman"/>
          <w:sz w:val="32"/>
          <w:szCs w:val="32"/>
        </w:rPr>
        <w:t>”</w:t>
      </w:r>
      <w:r w:rsidRPr="007058EB">
        <w:rPr>
          <w:rFonts w:ascii="Times New Roman" w:eastAsia="仿宋_GB2312" w:hAnsi="Times New Roman"/>
          <w:sz w:val="32"/>
          <w:szCs w:val="32"/>
        </w:rPr>
        <w:t>为由拒绝。</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AJL</w:t>
      </w:r>
      <w:r w:rsidRPr="007058EB">
        <w:rPr>
          <w:rFonts w:ascii="Times New Roman" w:eastAsia="仿宋_GB2312" w:hAnsi="Times New Roman"/>
          <w:sz w:val="32"/>
          <w:szCs w:val="32"/>
        </w:rPr>
        <w:t>公司遂申请保全措施，要求法院强制银行履行新担保义务。一审法院支持</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公司请求，判决银行继续提供担保，伊塔乌银行不服上诉至亚马逊州法院，但败诉，随后又向巴西高等法院提起特别上诉。高等法院驳回银行上诉，认定：银行继续为新业务提供担保，以维持</w:t>
      </w:r>
      <w:r w:rsidRPr="007058EB">
        <w:rPr>
          <w:rFonts w:ascii="Times New Roman" w:eastAsia="仿宋_GB2312" w:hAnsi="Times New Roman"/>
          <w:sz w:val="32"/>
          <w:szCs w:val="32"/>
        </w:rPr>
        <w:t>AJL</w:t>
      </w:r>
      <w:r w:rsidRPr="007058EB">
        <w:rPr>
          <w:rFonts w:ascii="Times New Roman" w:eastAsia="仿宋_GB2312" w:hAnsi="Times New Roman"/>
          <w:sz w:val="32"/>
          <w:szCs w:val="32"/>
        </w:rPr>
        <w:t>公司经营活动</w:t>
      </w:r>
      <w:r w:rsidRPr="007058EB">
        <w:rPr>
          <w:rFonts w:ascii="Times New Roman" w:eastAsia="仿宋_GB2312" w:hAnsi="Times New Roman"/>
          <w:sz w:val="32"/>
          <w:szCs w:val="32"/>
        </w:rPr>
        <w:lastRenderedPageBreak/>
        <w:t>连续性，避免对其造成</w:t>
      </w:r>
      <w:r w:rsidRPr="007058EB">
        <w:rPr>
          <w:rFonts w:ascii="Times New Roman" w:eastAsia="仿宋_GB2312" w:hAnsi="Times New Roman"/>
          <w:sz w:val="32"/>
          <w:szCs w:val="32"/>
        </w:rPr>
        <w:t>“</w:t>
      </w:r>
      <w:r w:rsidRPr="007058EB">
        <w:rPr>
          <w:rFonts w:ascii="Times New Roman" w:eastAsia="仿宋_GB2312" w:hAnsi="Times New Roman"/>
          <w:sz w:val="32"/>
          <w:szCs w:val="32"/>
        </w:rPr>
        <w:t>严重且难以弥补的损害</w:t>
      </w:r>
      <w:r w:rsidRPr="007058EB">
        <w:rPr>
          <w:rFonts w:ascii="Times New Roman" w:eastAsia="仿宋_GB2312" w:hAnsi="Times New Roman"/>
          <w:sz w:val="32"/>
          <w:szCs w:val="32"/>
        </w:rPr>
        <w:t>”</w:t>
      </w:r>
      <w:r w:rsidRPr="007058EB">
        <w:rPr>
          <w:rFonts w:ascii="Times New Roman" w:eastAsia="仿宋_GB2312" w:hAnsi="Times New Roman"/>
          <w:sz w:val="32"/>
          <w:szCs w:val="32"/>
        </w:rPr>
        <w:t>（</w:t>
      </w:r>
      <w:r w:rsidRPr="007058EB">
        <w:rPr>
          <w:rFonts w:ascii="Times New Roman" w:eastAsia="仿宋_GB2312" w:hAnsi="Times New Roman"/>
          <w:sz w:val="32"/>
          <w:szCs w:val="32"/>
        </w:rPr>
        <w:t>dano grave e de difícil reparação</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（二）案情分析</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争议焦点一：旧担保的</w:t>
      </w:r>
      <w:r w:rsidRPr="007058EB">
        <w:rPr>
          <w:rFonts w:ascii="Times New Roman" w:eastAsia="仿宋_GB2312" w:hAnsi="Times New Roman"/>
          <w:sz w:val="32"/>
          <w:szCs w:val="32"/>
        </w:rPr>
        <w:t>“</w:t>
      </w:r>
      <w:r w:rsidRPr="007058EB">
        <w:rPr>
          <w:rFonts w:ascii="Times New Roman" w:eastAsia="仿宋_GB2312" w:hAnsi="Times New Roman"/>
          <w:sz w:val="32"/>
          <w:szCs w:val="32"/>
        </w:rPr>
        <w:t>止付</w:t>
      </w:r>
      <w:r w:rsidRPr="007058EB">
        <w:rPr>
          <w:rFonts w:ascii="Times New Roman" w:eastAsia="仿宋_GB2312" w:hAnsi="Times New Roman"/>
          <w:sz w:val="32"/>
          <w:szCs w:val="32"/>
        </w:rPr>
        <w:t>”</w:t>
      </w:r>
      <w:r w:rsidRPr="007058EB">
        <w:rPr>
          <w:rFonts w:ascii="Times New Roman" w:eastAsia="仿宋_GB2312" w:hAnsi="Times New Roman"/>
          <w:sz w:val="32"/>
          <w:szCs w:val="32"/>
        </w:rPr>
        <w:t>状态是否能强制衍生出新担保的</w:t>
      </w:r>
      <w:r w:rsidRPr="007058EB">
        <w:rPr>
          <w:rFonts w:ascii="Times New Roman" w:eastAsia="仿宋_GB2312" w:hAnsi="Times New Roman"/>
          <w:sz w:val="32"/>
          <w:szCs w:val="32"/>
        </w:rPr>
        <w:t>“</w:t>
      </w:r>
      <w:r w:rsidRPr="007058EB">
        <w:rPr>
          <w:rFonts w:ascii="Times New Roman" w:eastAsia="仿宋_GB2312" w:hAnsi="Times New Roman"/>
          <w:sz w:val="32"/>
          <w:szCs w:val="32"/>
        </w:rPr>
        <w:t>开立</w:t>
      </w:r>
      <w:r w:rsidRPr="007058EB">
        <w:rPr>
          <w:rFonts w:ascii="Times New Roman" w:eastAsia="仿宋_GB2312" w:hAnsi="Times New Roman"/>
          <w:sz w:val="32"/>
          <w:szCs w:val="32"/>
        </w:rPr>
        <w:t>”</w:t>
      </w:r>
      <w:r w:rsidRPr="007058EB">
        <w:rPr>
          <w:rFonts w:ascii="Times New Roman" w:eastAsia="仿宋_GB2312" w:hAnsi="Times New Roman"/>
          <w:sz w:val="32"/>
          <w:szCs w:val="32"/>
        </w:rPr>
        <w:t>义务？</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此为本案最大的争议点。银行与法院持截然不同的观点：银行认为境外的保兑行已经赔付，原担保义务已消灭（</w:t>
      </w:r>
      <w:r w:rsidRPr="007058EB">
        <w:rPr>
          <w:rFonts w:ascii="Times New Roman" w:eastAsia="仿宋_GB2312" w:hAnsi="Times New Roman"/>
          <w:sz w:val="32"/>
          <w:szCs w:val="32"/>
        </w:rPr>
        <w:t>exaurido</w:t>
      </w:r>
      <w:r w:rsidRPr="007058EB">
        <w:rPr>
          <w:rFonts w:ascii="Times New Roman" w:eastAsia="仿宋_GB2312" w:hAnsi="Times New Roman"/>
          <w:sz w:val="32"/>
          <w:szCs w:val="32"/>
        </w:rPr>
        <w:t>）。新担保属于全新的独立交易，基于《巴西民法典》第</w:t>
      </w:r>
      <w:r w:rsidRPr="007058EB">
        <w:rPr>
          <w:rFonts w:ascii="Times New Roman" w:eastAsia="仿宋_GB2312" w:hAnsi="Times New Roman"/>
          <w:sz w:val="32"/>
          <w:szCs w:val="32"/>
        </w:rPr>
        <w:t>421</w:t>
      </w:r>
      <w:r w:rsidRPr="007058EB">
        <w:rPr>
          <w:rFonts w:ascii="Times New Roman" w:eastAsia="仿宋_GB2312" w:hAnsi="Times New Roman"/>
          <w:sz w:val="32"/>
          <w:szCs w:val="32"/>
        </w:rPr>
        <w:t>条合同自由原则，银行有权拒绝提供新担保；而法院认为，由于司法止付令的存在，旧的担保关系并未真正结束，而是处于</w:t>
      </w:r>
      <w:r w:rsidRPr="007058EB">
        <w:rPr>
          <w:rFonts w:ascii="Times New Roman" w:eastAsia="仿宋_GB2312" w:hAnsi="Times New Roman"/>
          <w:sz w:val="32"/>
          <w:szCs w:val="32"/>
        </w:rPr>
        <w:t>“</w:t>
      </w:r>
      <w:r w:rsidRPr="007058EB">
        <w:rPr>
          <w:rFonts w:ascii="Times New Roman" w:eastAsia="仿宋_GB2312" w:hAnsi="Times New Roman"/>
          <w:sz w:val="32"/>
          <w:szCs w:val="32"/>
        </w:rPr>
        <w:t>悬停</w:t>
      </w:r>
      <w:r w:rsidRPr="007058EB">
        <w:rPr>
          <w:rFonts w:ascii="Times New Roman" w:eastAsia="仿宋_GB2312" w:hAnsi="Times New Roman"/>
          <w:sz w:val="32"/>
          <w:szCs w:val="32"/>
        </w:rPr>
        <w:t>”</w:t>
      </w:r>
      <w:r w:rsidRPr="007058EB">
        <w:rPr>
          <w:rFonts w:ascii="Times New Roman" w:eastAsia="仿宋_GB2312" w:hAnsi="Times New Roman"/>
          <w:sz w:val="32"/>
          <w:szCs w:val="32"/>
        </w:rPr>
        <w:t>状态（</w:t>
      </w:r>
      <w:r w:rsidRPr="007058EB">
        <w:rPr>
          <w:rFonts w:ascii="Times New Roman" w:eastAsia="仿宋_GB2312" w:hAnsi="Times New Roman"/>
          <w:sz w:val="32"/>
          <w:szCs w:val="32"/>
        </w:rPr>
        <w:t>relação jurídica suspensa</w:t>
      </w:r>
      <w:r w:rsidRPr="007058EB">
        <w:rPr>
          <w:rFonts w:ascii="Times New Roman" w:eastAsia="仿宋_GB2312" w:hAnsi="Times New Roman"/>
          <w:sz w:val="32"/>
          <w:szCs w:val="32"/>
        </w:rPr>
        <w:t>），银行不应轻易解除担保义务。至于新的担保关系，如果银行以</w:t>
      </w:r>
      <w:r w:rsidRPr="007058EB">
        <w:rPr>
          <w:rFonts w:ascii="Times New Roman" w:eastAsia="仿宋_GB2312" w:hAnsi="Times New Roman"/>
          <w:sz w:val="32"/>
          <w:szCs w:val="32"/>
        </w:rPr>
        <w:t>“</w:t>
      </w:r>
      <w:r w:rsidRPr="007058EB">
        <w:rPr>
          <w:rFonts w:ascii="Times New Roman" w:eastAsia="仿宋_GB2312" w:hAnsi="Times New Roman"/>
          <w:sz w:val="32"/>
          <w:szCs w:val="32"/>
        </w:rPr>
        <w:t>原担保义务已消灭</w:t>
      </w:r>
      <w:r w:rsidRPr="007058EB">
        <w:rPr>
          <w:rFonts w:ascii="Times New Roman" w:eastAsia="仿宋_GB2312" w:hAnsi="Times New Roman"/>
          <w:sz w:val="32"/>
          <w:szCs w:val="32"/>
        </w:rPr>
        <w:t>”</w:t>
      </w:r>
      <w:r w:rsidRPr="007058EB">
        <w:rPr>
          <w:rFonts w:ascii="Times New Roman" w:eastAsia="仿宋_GB2312" w:hAnsi="Times New Roman"/>
          <w:sz w:val="32"/>
          <w:szCs w:val="32"/>
        </w:rPr>
        <w:t>为由拒绝，那么止付令将形同虚设；如果银行拒绝为新业务提供担保，</w:t>
      </w:r>
      <w:r w:rsidRPr="007058EB">
        <w:rPr>
          <w:rFonts w:ascii="Times New Roman" w:eastAsia="仿宋_GB2312" w:hAnsi="Times New Roman"/>
          <w:sz w:val="32"/>
          <w:szCs w:val="32"/>
        </w:rPr>
        <w:t>AJL</w:t>
      </w:r>
      <w:r w:rsidRPr="007058EB">
        <w:rPr>
          <w:rFonts w:ascii="Times New Roman" w:eastAsia="仿宋_GB2312" w:hAnsi="Times New Roman"/>
          <w:sz w:val="32"/>
          <w:szCs w:val="32"/>
        </w:rPr>
        <w:t>会遭受</w:t>
      </w:r>
      <w:r w:rsidRPr="007058EB">
        <w:rPr>
          <w:rFonts w:ascii="Times New Roman" w:eastAsia="仿宋_GB2312" w:hAnsi="Times New Roman"/>
          <w:sz w:val="32"/>
          <w:szCs w:val="32"/>
        </w:rPr>
        <w:t>“</w:t>
      </w:r>
      <w:r w:rsidRPr="007058EB">
        <w:rPr>
          <w:rFonts w:ascii="Times New Roman" w:eastAsia="仿宋_GB2312" w:hAnsi="Times New Roman"/>
          <w:sz w:val="32"/>
          <w:szCs w:val="32"/>
        </w:rPr>
        <w:t>严重且难以弥补的损害</w:t>
      </w:r>
      <w:r w:rsidRPr="007058EB">
        <w:rPr>
          <w:rFonts w:ascii="Times New Roman" w:eastAsia="仿宋_GB2312" w:hAnsi="Times New Roman"/>
          <w:sz w:val="32"/>
          <w:szCs w:val="32"/>
        </w:rPr>
        <w:t>”</w:t>
      </w:r>
      <w:r w:rsidRPr="007058EB">
        <w:rPr>
          <w:rFonts w:ascii="Times New Roman" w:eastAsia="仿宋_GB2312" w:hAnsi="Times New Roman"/>
          <w:sz w:val="32"/>
          <w:szCs w:val="32"/>
        </w:rPr>
        <w:t>，因为新业务对公司的生存至关重要（</w:t>
      </w:r>
      <w:r w:rsidRPr="007058EB">
        <w:rPr>
          <w:rFonts w:ascii="Times New Roman" w:eastAsia="仿宋_GB2312" w:hAnsi="Times New Roman"/>
          <w:sz w:val="32"/>
          <w:szCs w:val="32"/>
        </w:rPr>
        <w:t>"atividades que lhe sao regulares enquanto pessoa juridica ... que sobrevive da atividade comercial"</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争议焦点二：银行是否可以援引</w:t>
      </w:r>
      <w:r w:rsidRPr="007058EB">
        <w:rPr>
          <w:rFonts w:ascii="Times New Roman" w:eastAsia="仿宋_GB2312" w:hAnsi="Times New Roman"/>
          <w:sz w:val="32"/>
          <w:szCs w:val="32"/>
        </w:rPr>
        <w:t>ISP98</w:t>
      </w:r>
      <w:r w:rsidRPr="007058EB">
        <w:rPr>
          <w:rFonts w:ascii="Times New Roman" w:eastAsia="仿宋_GB2312" w:hAnsi="Times New Roman"/>
          <w:sz w:val="32"/>
          <w:szCs w:val="32"/>
        </w:rPr>
        <w:t>抗辩？</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一审判决核心禁令为：</w:t>
      </w:r>
      <w:r w:rsidRPr="007058EB">
        <w:rPr>
          <w:rFonts w:ascii="Times New Roman" w:eastAsia="仿宋_GB2312" w:hAnsi="Times New Roman"/>
          <w:sz w:val="32"/>
          <w:szCs w:val="32"/>
        </w:rPr>
        <w:t>“</w:t>
      </w:r>
      <w:r w:rsidRPr="007058EB">
        <w:rPr>
          <w:rFonts w:ascii="Times New Roman" w:eastAsia="仿宋_GB2312" w:hAnsi="Times New Roman"/>
          <w:sz w:val="32"/>
          <w:szCs w:val="32"/>
        </w:rPr>
        <w:t>责令伊塔乌联合银行，在本院后续裁判作出前，不得以任何方式兑付、支付、释放、划转或履行起诉状所涉争议银行保函。</w:t>
      </w:r>
      <w:r w:rsidRPr="007058EB">
        <w:rPr>
          <w:rFonts w:ascii="Times New Roman" w:eastAsia="仿宋_GB2312" w:hAnsi="Times New Roman"/>
          <w:sz w:val="32"/>
          <w:szCs w:val="32"/>
        </w:rPr>
        <w:t>”</w:t>
      </w:r>
      <w:r w:rsidRPr="007058EB">
        <w:rPr>
          <w:rFonts w:ascii="Times New Roman" w:eastAsia="仿宋_GB2312" w:hAnsi="Times New Roman"/>
          <w:sz w:val="32"/>
          <w:szCs w:val="32"/>
        </w:rPr>
        <w:t>终审判决书进一步说明，即</w:t>
      </w:r>
      <w:r w:rsidRPr="007058EB">
        <w:rPr>
          <w:rFonts w:ascii="Times New Roman" w:eastAsia="仿宋_GB2312" w:hAnsi="Times New Roman"/>
          <w:sz w:val="32"/>
          <w:szCs w:val="32"/>
        </w:rPr>
        <w:lastRenderedPageBreak/>
        <w:t>使存在</w:t>
      </w:r>
      <w:r w:rsidRPr="007058EB">
        <w:rPr>
          <w:rFonts w:ascii="Times New Roman" w:eastAsia="仿宋_GB2312" w:hAnsi="Times New Roman"/>
          <w:sz w:val="32"/>
          <w:szCs w:val="32"/>
        </w:rPr>
        <w:t>ISP98</w:t>
      </w:r>
      <w:r w:rsidRPr="007058EB">
        <w:rPr>
          <w:rFonts w:ascii="Times New Roman" w:eastAsia="仿宋_GB2312" w:hAnsi="Times New Roman"/>
          <w:sz w:val="32"/>
          <w:szCs w:val="32"/>
        </w:rPr>
        <w:t>，伊塔乌联合银行本可以采取某种措施以执行司法决定；或如果不可能采取措施，银行应立即向判决法官提出阻碍执行的适当理由，以便法院对禁令做出相应调整。</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终审判决表达了三层含义：一是既然一审已经明确银行</w:t>
      </w:r>
      <w:r w:rsidRPr="007058EB">
        <w:rPr>
          <w:rFonts w:ascii="Times New Roman" w:eastAsia="仿宋_GB2312" w:hAnsi="Times New Roman"/>
          <w:sz w:val="32"/>
          <w:szCs w:val="32"/>
        </w:rPr>
        <w:t>“</w:t>
      </w:r>
      <w:r w:rsidRPr="007058EB">
        <w:rPr>
          <w:rFonts w:ascii="Times New Roman" w:eastAsia="仿宋_GB2312" w:hAnsi="Times New Roman"/>
          <w:sz w:val="32"/>
          <w:szCs w:val="32"/>
        </w:rPr>
        <w:t>不得以任何方式</w:t>
      </w:r>
      <w:r w:rsidRPr="007058EB">
        <w:rPr>
          <w:rFonts w:ascii="Times New Roman" w:eastAsia="仿宋_GB2312" w:hAnsi="Times New Roman"/>
          <w:sz w:val="32"/>
          <w:szCs w:val="32"/>
        </w:rPr>
        <w:t>”</w:t>
      </w:r>
      <w:r w:rsidRPr="007058EB">
        <w:rPr>
          <w:rFonts w:ascii="Times New Roman" w:eastAsia="仿宋_GB2312" w:hAnsi="Times New Roman"/>
          <w:sz w:val="32"/>
          <w:szCs w:val="32"/>
        </w:rPr>
        <w:t>执行保函（备证），那银行就该采取必要措施以执行司法禁令；二是如果银行认为</w:t>
      </w:r>
      <w:r w:rsidRPr="007058EB">
        <w:rPr>
          <w:rFonts w:ascii="Times New Roman" w:eastAsia="仿宋_GB2312" w:hAnsi="Times New Roman"/>
          <w:sz w:val="32"/>
          <w:szCs w:val="32"/>
        </w:rPr>
        <w:t>ISP98</w:t>
      </w:r>
      <w:r w:rsidRPr="007058EB">
        <w:rPr>
          <w:rFonts w:ascii="Times New Roman" w:eastAsia="仿宋_GB2312" w:hAnsi="Times New Roman"/>
          <w:sz w:val="32"/>
          <w:szCs w:val="32"/>
        </w:rPr>
        <w:t>规则阻碍了其执行司法禁令，它必须立即向法官说明具体理由（但银行实际没有做到），以便法院调整禁令；三是银行若仅援引</w:t>
      </w:r>
      <w:r w:rsidRPr="007058EB">
        <w:rPr>
          <w:rFonts w:ascii="Times New Roman" w:eastAsia="仿宋_GB2312" w:hAnsi="Times New Roman"/>
          <w:sz w:val="32"/>
          <w:szCs w:val="32"/>
        </w:rPr>
        <w:t>ISP98</w:t>
      </w:r>
      <w:r w:rsidRPr="007058EB">
        <w:rPr>
          <w:rFonts w:ascii="Times New Roman" w:eastAsia="仿宋_GB2312" w:hAnsi="Times New Roman"/>
          <w:sz w:val="32"/>
          <w:szCs w:val="32"/>
        </w:rPr>
        <w:t>规避责任却未积极解决，该行为不构成合理抗辩。此外，判决书仅载明保兑行位于境外，未认定其是否知晓止付令，亦未界定保兑行付款的法律责任。</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争议焦点三：法院强制银行提供新担保，是否违反</w:t>
      </w:r>
      <w:r w:rsidRPr="007058EB">
        <w:rPr>
          <w:rFonts w:ascii="Times New Roman" w:eastAsia="仿宋_GB2312" w:hAnsi="Times New Roman"/>
          <w:sz w:val="32"/>
          <w:szCs w:val="32"/>
        </w:rPr>
        <w:t>“</w:t>
      </w:r>
      <w:r w:rsidRPr="007058EB">
        <w:rPr>
          <w:rFonts w:ascii="Times New Roman" w:eastAsia="仿宋_GB2312" w:hAnsi="Times New Roman"/>
          <w:sz w:val="32"/>
          <w:szCs w:val="32"/>
        </w:rPr>
        <w:t>合同自由原则</w:t>
      </w:r>
      <w:r w:rsidRPr="007058EB">
        <w:rPr>
          <w:rFonts w:ascii="Times New Roman" w:eastAsia="仿宋_GB2312" w:hAnsi="Times New Roman"/>
          <w:sz w:val="32"/>
          <w:szCs w:val="32"/>
        </w:rPr>
        <w:t>”</w:t>
      </w:r>
      <w:r w:rsidRPr="007058EB">
        <w:rPr>
          <w:rFonts w:ascii="Times New Roman" w:eastAsia="仿宋_GB2312" w:hAnsi="Times New Roman"/>
          <w:sz w:val="32"/>
          <w:szCs w:val="32"/>
        </w:rPr>
        <w:t>？</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银行指责法院滥用司法程序，以强制方式扩展原担保的适用范围，违反了《民法典》第</w:t>
      </w:r>
      <w:r w:rsidRPr="007058EB">
        <w:rPr>
          <w:rFonts w:ascii="Times New Roman" w:eastAsia="仿宋_GB2312" w:hAnsi="Times New Roman"/>
          <w:sz w:val="32"/>
          <w:szCs w:val="32"/>
        </w:rPr>
        <w:t>421</w:t>
      </w:r>
      <w:r w:rsidRPr="007058EB">
        <w:rPr>
          <w:rFonts w:ascii="Times New Roman" w:eastAsia="仿宋_GB2312" w:hAnsi="Times New Roman"/>
          <w:sz w:val="32"/>
          <w:szCs w:val="32"/>
        </w:rPr>
        <w:t>条（合同自由）和第</w:t>
      </w:r>
      <w:r w:rsidRPr="007058EB">
        <w:rPr>
          <w:rFonts w:ascii="Times New Roman" w:eastAsia="仿宋_GB2312" w:hAnsi="Times New Roman"/>
          <w:sz w:val="32"/>
          <w:szCs w:val="32"/>
        </w:rPr>
        <w:t>422</w:t>
      </w:r>
      <w:r w:rsidRPr="007058EB">
        <w:rPr>
          <w:rFonts w:ascii="Times New Roman" w:eastAsia="仿宋_GB2312" w:hAnsi="Times New Roman"/>
          <w:sz w:val="32"/>
          <w:szCs w:val="32"/>
        </w:rPr>
        <w:t>条（诚信原则）。法院则认为，既然有止付令存在，那么在该命令被撤销、中止或替代之前，与担保相关的合同关系就应被视为持续有效。判决并未扭曲合同本质，或侵犯合同自由、社会功能或诚信原则，而仅仅是防止一方遭受严重损害。</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（三）判例启示</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本案的核心分歧在于，法院基于</w:t>
      </w:r>
      <w:r w:rsidRPr="007058EB">
        <w:rPr>
          <w:rFonts w:ascii="Times New Roman" w:eastAsia="仿宋_GB2312" w:hAnsi="Times New Roman"/>
          <w:sz w:val="32"/>
          <w:szCs w:val="32"/>
        </w:rPr>
        <w:t>“</w:t>
      </w:r>
      <w:r w:rsidRPr="007058EB">
        <w:rPr>
          <w:rFonts w:ascii="Times New Roman" w:eastAsia="仿宋_GB2312" w:hAnsi="Times New Roman"/>
          <w:sz w:val="32"/>
          <w:szCs w:val="32"/>
        </w:rPr>
        <w:t>防止严重损害</w:t>
      </w:r>
      <w:r w:rsidRPr="007058EB">
        <w:rPr>
          <w:rFonts w:ascii="Times New Roman" w:eastAsia="仿宋_GB2312" w:hAnsi="Times New Roman"/>
          <w:sz w:val="32"/>
          <w:szCs w:val="32"/>
        </w:rPr>
        <w:t>”</w:t>
      </w:r>
      <w:r w:rsidRPr="007058EB">
        <w:rPr>
          <w:rFonts w:ascii="Times New Roman" w:eastAsia="仿宋_GB2312" w:hAnsi="Times New Roman"/>
          <w:sz w:val="32"/>
          <w:szCs w:val="32"/>
        </w:rPr>
        <w:t>的临时</w:t>
      </w:r>
      <w:r w:rsidRPr="007058EB">
        <w:rPr>
          <w:rFonts w:ascii="Times New Roman" w:eastAsia="仿宋_GB2312" w:hAnsi="Times New Roman"/>
          <w:sz w:val="32"/>
          <w:szCs w:val="32"/>
        </w:rPr>
        <w:lastRenderedPageBreak/>
        <w:t>救济逻辑，要求银行在司法程序未决期间保持担保的效力；而银行则是基于</w:t>
      </w:r>
      <w:r w:rsidRPr="007058EB">
        <w:rPr>
          <w:rFonts w:ascii="Times New Roman" w:eastAsia="仿宋_GB2312" w:hAnsi="Times New Roman"/>
          <w:sz w:val="32"/>
          <w:szCs w:val="32"/>
        </w:rPr>
        <w:t>“</w:t>
      </w:r>
      <w:r w:rsidRPr="007058EB">
        <w:rPr>
          <w:rFonts w:ascii="Times New Roman" w:eastAsia="仿宋_GB2312" w:hAnsi="Times New Roman"/>
          <w:sz w:val="32"/>
          <w:szCs w:val="32"/>
        </w:rPr>
        <w:t>合同义务已履行完毕</w:t>
      </w:r>
      <w:r w:rsidRPr="007058EB">
        <w:rPr>
          <w:rFonts w:ascii="Times New Roman" w:eastAsia="仿宋_GB2312" w:hAnsi="Times New Roman"/>
          <w:sz w:val="32"/>
          <w:szCs w:val="32"/>
        </w:rPr>
        <w:t>”</w:t>
      </w:r>
      <w:r w:rsidRPr="007058EB">
        <w:rPr>
          <w:rFonts w:ascii="Times New Roman" w:eastAsia="仿宋_GB2312" w:hAnsi="Times New Roman"/>
          <w:sz w:val="32"/>
          <w:szCs w:val="32"/>
        </w:rPr>
        <w:t>的实体权利逻辑，认为自己没有义务为新的业务提供担保。双方对同一担保合同在当前法律状态（存在司法止付令）下的效力和范围存在根本性分歧。</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此外，判决书并未提及</w:t>
      </w:r>
      <w:r w:rsidRPr="007058EB">
        <w:rPr>
          <w:rFonts w:ascii="Times New Roman" w:eastAsia="仿宋_GB2312" w:hAnsi="Times New Roman"/>
          <w:sz w:val="32"/>
          <w:szCs w:val="32"/>
        </w:rPr>
        <w:t>“</w:t>
      </w:r>
      <w:r w:rsidRPr="007058EB">
        <w:rPr>
          <w:rFonts w:ascii="Times New Roman" w:eastAsia="仿宋_GB2312" w:hAnsi="Times New Roman"/>
          <w:sz w:val="32"/>
          <w:szCs w:val="32"/>
        </w:rPr>
        <w:t>欺诈</w:t>
      </w:r>
      <w:r w:rsidRPr="007058EB">
        <w:rPr>
          <w:rFonts w:ascii="Times New Roman" w:eastAsia="仿宋_GB2312" w:hAnsi="Times New Roman"/>
          <w:sz w:val="32"/>
          <w:szCs w:val="32"/>
        </w:rPr>
        <w:t>”</w:t>
      </w:r>
      <w:r w:rsidRPr="007058EB">
        <w:rPr>
          <w:rFonts w:ascii="Times New Roman" w:eastAsia="仿宋_GB2312" w:hAnsi="Times New Roman"/>
          <w:sz w:val="32"/>
          <w:szCs w:val="32"/>
        </w:rPr>
        <w:t>等类似表述。若仅基于普通合同纠纷，则该判决属于巴西程序法项下的紧急保全措施，而非</w:t>
      </w:r>
      <w:r w:rsidRPr="007058EB">
        <w:rPr>
          <w:rFonts w:ascii="Times New Roman" w:eastAsia="仿宋_GB2312" w:hAnsi="Times New Roman"/>
          <w:sz w:val="32"/>
          <w:szCs w:val="32"/>
        </w:rPr>
        <w:t>“</w:t>
      </w:r>
      <w:r w:rsidRPr="007058EB">
        <w:rPr>
          <w:rFonts w:ascii="Times New Roman" w:eastAsia="仿宋_GB2312" w:hAnsi="Times New Roman"/>
          <w:sz w:val="32"/>
          <w:szCs w:val="32"/>
        </w:rPr>
        <w:t>欺诈例外</w:t>
      </w:r>
      <w:r w:rsidRPr="007058EB">
        <w:rPr>
          <w:rFonts w:ascii="Times New Roman" w:eastAsia="仿宋_GB2312" w:hAnsi="Times New Roman"/>
          <w:sz w:val="32"/>
          <w:szCs w:val="32"/>
        </w:rPr>
        <w:t>”</w:t>
      </w:r>
      <w:r w:rsidRPr="007058EB">
        <w:rPr>
          <w:rFonts w:ascii="Times New Roman" w:eastAsia="仿宋_GB2312" w:hAnsi="Times New Roman"/>
          <w:sz w:val="32"/>
          <w:szCs w:val="32"/>
        </w:rPr>
        <w:t>原则项下的止付措施，止付效力在国际仲裁或境外法院可能难以得到认可。由此可见，本案带有较强的司法保护主义倾向。</w:t>
      </w:r>
    </w:p>
    <w:p w:rsidR="008445DB" w:rsidRPr="007058EB" w:rsidRDefault="008445DB" w:rsidP="008445DB">
      <w:pPr>
        <w:adjustRightInd w:val="0"/>
        <w:snapToGrid w:val="0"/>
        <w:spacing w:line="660" w:lineRule="exact"/>
        <w:ind w:left="640"/>
        <w:rPr>
          <w:rFonts w:ascii="Times New Roman" w:eastAsia="黑体" w:hAnsi="Times New Roman"/>
          <w:sz w:val="32"/>
          <w:szCs w:val="32"/>
        </w:rPr>
      </w:pPr>
      <w:r w:rsidRPr="007058EB">
        <w:rPr>
          <w:rFonts w:ascii="Times New Roman" w:eastAsia="黑体" w:hAnsi="Times New Roman"/>
          <w:sz w:val="32"/>
          <w:szCs w:val="32"/>
        </w:rPr>
        <w:t>四、巴西保函文本特点分析</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（一）担保人和语言要求</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对于政府或国有企业作为业主的公共采购项目，招标文件通常明确要求保函必须由</w:t>
      </w:r>
      <w:r w:rsidRPr="007058EB">
        <w:rPr>
          <w:rFonts w:ascii="Times New Roman" w:eastAsia="仿宋_GB2312" w:hAnsi="Times New Roman"/>
          <w:sz w:val="32"/>
          <w:szCs w:val="32"/>
        </w:rPr>
        <w:t>“</w:t>
      </w:r>
      <w:r w:rsidRPr="007058EB">
        <w:rPr>
          <w:rFonts w:ascii="Times New Roman" w:eastAsia="仿宋_GB2312" w:hAnsi="Times New Roman"/>
          <w:sz w:val="32"/>
          <w:szCs w:val="32"/>
        </w:rPr>
        <w:t>在巴西境内受监管的金融机构（银行、保险公司等）出具</w:t>
      </w:r>
      <w:r w:rsidRPr="007058EB">
        <w:rPr>
          <w:rFonts w:ascii="Times New Roman" w:eastAsia="仿宋_GB2312" w:hAnsi="Times New Roman"/>
          <w:sz w:val="32"/>
          <w:szCs w:val="32"/>
        </w:rPr>
        <w:t>”</w:t>
      </w:r>
      <w:r w:rsidRPr="007058EB">
        <w:rPr>
          <w:rFonts w:ascii="Times New Roman" w:eastAsia="仿宋_GB2312" w:hAnsi="Times New Roman"/>
          <w:sz w:val="32"/>
          <w:szCs w:val="32"/>
        </w:rPr>
        <w:t>。这一本地化要求意味着，直开保函不被接受，需要通过转开方式，由一家巴西本地银行或保险公司作为主担保人。此外，巴西法律要求在巴西境内产生法律效力的文件要以葡萄牙语出具，故本地保函基本以葡萄牙语为主。</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（二）设置汇率条款</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巴西实行严格的外汇管制。所有与保函相关的资金跨境</w:t>
      </w:r>
      <w:r w:rsidRPr="007058EB">
        <w:rPr>
          <w:rFonts w:ascii="Times New Roman" w:eastAsia="仿宋_GB2312" w:hAnsi="Times New Roman"/>
          <w:sz w:val="32"/>
          <w:szCs w:val="32"/>
        </w:rPr>
        <w:lastRenderedPageBreak/>
        <w:t>流动，包括担保费支付和索赔款的汇入汇出，均需通过巴西中央银行授权的金融机构进行，并受到外汇管制的约束。基于此，保函（尤其是转开结构项下的保函）通常会设置汇率转换条款。例如，反担保规定中常见如下约定：</w:t>
      </w:r>
      <w:r w:rsidRPr="007058EB">
        <w:rPr>
          <w:rFonts w:ascii="Times New Roman" w:eastAsia="仿宋_GB2312" w:hAnsi="Times New Roman"/>
          <w:sz w:val="32"/>
          <w:szCs w:val="32"/>
        </w:rPr>
        <w:t>“IN THE EVENT OF CLAIM, WE WILL PAY YOU IN USD. FOR FIGURING OUT THE AMOUNT OF YOUR CLAIM, YOU SHALL APPLY YOUR OFFICIAL RATE BRL TO USD ON THE DATE OF YOUR CLAIM.WE WILL ALSO REIMBURSE YOU ANY DIFFERENCE AMOUNT THAT YOU WILL INCUR DURING THE SETTLEMENT OF CLAIM, IF ANY, DUE TO THE EXCHANGE RATE FLUCTUATIONS.”</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过去五年间，美元兑雷亚尔汇率大致在</w:t>
      </w:r>
      <w:r w:rsidRPr="007058EB">
        <w:rPr>
          <w:rFonts w:ascii="Times New Roman" w:eastAsia="仿宋_GB2312" w:hAnsi="Times New Roman"/>
          <w:sz w:val="32"/>
          <w:szCs w:val="32"/>
        </w:rPr>
        <w:t>4.7-6.75</w:t>
      </w:r>
      <w:r w:rsidRPr="007058EB">
        <w:rPr>
          <w:rFonts w:ascii="Times New Roman" w:eastAsia="仿宋_GB2312" w:hAnsi="Times New Roman"/>
          <w:sz w:val="32"/>
          <w:szCs w:val="32"/>
        </w:rPr>
        <w:t>区间内波动，市场主流预测</w:t>
      </w:r>
      <w:r w:rsidRPr="007058EB">
        <w:rPr>
          <w:rFonts w:ascii="Times New Roman" w:eastAsia="仿宋_GB2312" w:hAnsi="Times New Roman"/>
          <w:sz w:val="32"/>
          <w:szCs w:val="32"/>
        </w:rPr>
        <w:t>2026</w:t>
      </w:r>
      <w:r w:rsidRPr="007058EB">
        <w:rPr>
          <w:rFonts w:ascii="Times New Roman" w:eastAsia="仿宋_GB2312" w:hAnsi="Times New Roman"/>
          <w:sz w:val="32"/>
          <w:szCs w:val="32"/>
        </w:rPr>
        <w:t>年汇率范围在</w:t>
      </w:r>
      <w:r w:rsidRPr="007058EB">
        <w:rPr>
          <w:rFonts w:ascii="Times New Roman" w:eastAsia="仿宋_GB2312" w:hAnsi="Times New Roman"/>
          <w:sz w:val="32"/>
          <w:szCs w:val="32"/>
        </w:rPr>
        <w:t>5.5-5.7</w:t>
      </w:r>
      <w:r w:rsidRPr="007058EB">
        <w:rPr>
          <w:rFonts w:ascii="Times New Roman" w:eastAsia="仿宋_GB2312" w:hAnsi="Times New Roman"/>
          <w:sz w:val="32"/>
          <w:szCs w:val="32"/>
        </w:rPr>
        <w:t>。其它币种兑雷亚尔的汇率通常跟随美元波动。总体来看，相关货币对雷亚尔的汇率波动风险较大。</w:t>
      </w:r>
    </w:p>
    <w:p w:rsidR="008445DB" w:rsidRPr="007058EB" w:rsidRDefault="008445DB" w:rsidP="008445DB">
      <w:pPr>
        <w:adjustRightInd w:val="0"/>
        <w:snapToGrid w:val="0"/>
        <w:spacing w:line="660" w:lineRule="exact"/>
        <w:ind w:firstLineChars="200" w:firstLine="643"/>
        <w:rPr>
          <w:rFonts w:ascii="Times New Roman" w:eastAsia="仿宋_GB2312" w:hAnsi="Times New Roman"/>
          <w:sz w:val="32"/>
          <w:szCs w:val="32"/>
        </w:rPr>
      </w:pPr>
      <w:r w:rsidRPr="007058EB">
        <w:rPr>
          <w:rFonts w:ascii="Times New Roman" w:eastAsia="楷体_GB2312" w:hAnsi="Times New Roman"/>
          <w:b/>
          <w:sz w:val="32"/>
          <w:szCs w:val="32"/>
        </w:rPr>
        <w:t>（三）设置除外条款</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在巴西部分项目实践中，业主往往处于强势地位，要求担保人在保函中纳入</w:t>
      </w:r>
      <w:r w:rsidRPr="007058EB">
        <w:rPr>
          <w:rFonts w:ascii="Times New Roman" w:eastAsia="仿宋_GB2312" w:hAnsi="Times New Roman"/>
          <w:sz w:val="32"/>
          <w:szCs w:val="32"/>
        </w:rPr>
        <w:t>“</w:t>
      </w:r>
      <w:r w:rsidRPr="007058EB">
        <w:rPr>
          <w:rFonts w:ascii="Times New Roman" w:eastAsia="仿宋_GB2312" w:hAnsi="Times New Roman"/>
          <w:sz w:val="32"/>
          <w:szCs w:val="32"/>
        </w:rPr>
        <w:t>放弃例外或抗辩条款</w:t>
      </w:r>
      <w:r w:rsidRPr="007058EB">
        <w:rPr>
          <w:rFonts w:ascii="Times New Roman" w:eastAsia="仿宋_GB2312" w:hAnsi="Times New Roman"/>
          <w:sz w:val="32"/>
          <w:szCs w:val="32"/>
        </w:rPr>
        <w:t>”</w:t>
      </w:r>
      <w:r w:rsidRPr="007058EB">
        <w:rPr>
          <w:rFonts w:ascii="Times New Roman" w:eastAsia="仿宋_GB2312" w:hAnsi="Times New Roman"/>
          <w:sz w:val="32"/>
          <w:szCs w:val="32"/>
        </w:rPr>
        <w:t>。典型表述如下：</w:t>
      </w:r>
      <w:r w:rsidRPr="007058EB">
        <w:rPr>
          <w:rFonts w:ascii="Times New Roman" w:eastAsia="仿宋_GB2312" w:hAnsi="Times New Roman"/>
          <w:sz w:val="32"/>
          <w:szCs w:val="32"/>
        </w:rPr>
        <w:t>“</w:t>
      </w:r>
      <w:r w:rsidRPr="007058EB">
        <w:rPr>
          <w:rFonts w:ascii="Times New Roman" w:eastAsia="仿宋_GB2312" w:hAnsi="Times New Roman"/>
          <w:sz w:val="32"/>
          <w:szCs w:val="32"/>
        </w:rPr>
        <w:t>本保函的签发明确放弃了担保人可能依据《巴西民法典》第</w:t>
      </w:r>
      <w:r w:rsidRPr="007058EB">
        <w:rPr>
          <w:rFonts w:ascii="Times New Roman" w:eastAsia="仿宋_GB2312" w:hAnsi="Times New Roman"/>
          <w:sz w:val="32"/>
          <w:szCs w:val="32"/>
        </w:rPr>
        <w:t>333</w:t>
      </w:r>
      <w:r w:rsidRPr="007058EB">
        <w:rPr>
          <w:rFonts w:ascii="Times New Roman" w:eastAsia="仿宋_GB2312" w:hAnsi="Times New Roman"/>
          <w:sz w:val="32"/>
          <w:szCs w:val="32"/>
        </w:rPr>
        <w:t>条（单款）、第</w:t>
      </w:r>
      <w:r w:rsidRPr="007058EB">
        <w:rPr>
          <w:rFonts w:ascii="Times New Roman" w:eastAsia="仿宋_GB2312" w:hAnsi="Times New Roman"/>
          <w:sz w:val="32"/>
          <w:szCs w:val="32"/>
        </w:rPr>
        <w:t>366</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821</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827</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829</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831</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834</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835</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837</w:t>
      </w:r>
      <w:r w:rsidRPr="007058EB">
        <w:rPr>
          <w:rFonts w:ascii="Times New Roman" w:eastAsia="仿宋_GB2312" w:hAnsi="Times New Roman"/>
          <w:sz w:val="32"/>
          <w:szCs w:val="32"/>
        </w:rPr>
        <w:t>条、第</w:t>
      </w:r>
      <w:r w:rsidRPr="007058EB">
        <w:rPr>
          <w:rFonts w:ascii="Times New Roman" w:eastAsia="仿宋_GB2312" w:hAnsi="Times New Roman"/>
          <w:sz w:val="32"/>
          <w:szCs w:val="32"/>
        </w:rPr>
        <w:t>838</w:t>
      </w:r>
      <w:r w:rsidRPr="007058EB">
        <w:rPr>
          <w:rFonts w:ascii="Times New Roman" w:eastAsia="仿宋_GB2312" w:hAnsi="Times New Roman"/>
          <w:sz w:val="32"/>
          <w:szCs w:val="32"/>
        </w:rPr>
        <w:t>条、第</w:t>
      </w:r>
      <w:r w:rsidRPr="007058EB">
        <w:rPr>
          <w:rFonts w:ascii="Times New Roman" w:eastAsia="仿宋_GB2312" w:hAnsi="Times New Roman"/>
          <w:sz w:val="32"/>
          <w:szCs w:val="32"/>
        </w:rPr>
        <w:lastRenderedPageBreak/>
        <w:t>839</w:t>
      </w:r>
      <w:r w:rsidRPr="007058EB">
        <w:rPr>
          <w:rFonts w:ascii="Times New Roman" w:eastAsia="仿宋_GB2312" w:hAnsi="Times New Roman"/>
          <w:sz w:val="32"/>
          <w:szCs w:val="32"/>
        </w:rPr>
        <w:t>条以及《巴西民事诉讼法》第</w:t>
      </w:r>
      <w:r w:rsidRPr="007058EB">
        <w:rPr>
          <w:rFonts w:ascii="Times New Roman" w:eastAsia="仿宋_GB2312" w:hAnsi="Times New Roman"/>
          <w:sz w:val="32"/>
          <w:szCs w:val="32"/>
        </w:rPr>
        <w:t>130</w:t>
      </w:r>
      <w:r w:rsidRPr="007058EB">
        <w:rPr>
          <w:rFonts w:ascii="Times New Roman" w:eastAsia="仿宋_GB2312" w:hAnsi="Times New Roman"/>
          <w:sz w:val="32"/>
          <w:szCs w:val="32"/>
        </w:rPr>
        <w:t>条和第</w:t>
      </w:r>
      <w:r w:rsidRPr="007058EB">
        <w:rPr>
          <w:rFonts w:ascii="Times New Roman" w:eastAsia="仿宋_GB2312" w:hAnsi="Times New Roman"/>
          <w:sz w:val="32"/>
          <w:szCs w:val="32"/>
        </w:rPr>
        <w:t>794</w:t>
      </w:r>
      <w:r w:rsidRPr="007058EB">
        <w:rPr>
          <w:rFonts w:ascii="Times New Roman" w:eastAsia="仿宋_GB2312" w:hAnsi="Times New Roman"/>
          <w:sz w:val="32"/>
          <w:szCs w:val="32"/>
        </w:rPr>
        <w:t>条享有的任何权益。（</w:t>
      </w:r>
      <w:r w:rsidRPr="007058EB">
        <w:rPr>
          <w:rFonts w:ascii="Times New Roman" w:eastAsia="仿宋_GB2312" w:hAnsi="Times New Roman"/>
          <w:sz w:val="32"/>
          <w:szCs w:val="32"/>
        </w:rPr>
        <w:t>Esta Carta de FianCa e emitida com expressa renuncia a qualquer benefício que o FIADOR possa ter em razao dos artigos 333, paragrafo unico, 366, 821, 827, 829, 831, 834, 835, 837, 838 e 839 do Codigo Civil Brasileiro e dos artigos 130 e 794 do Codigo de Processo Civil Brasileiro.</w:t>
      </w:r>
      <w:r w:rsidRPr="007058EB">
        <w:rPr>
          <w:rFonts w:ascii="Times New Roman" w:eastAsia="仿宋_GB2312" w:hAnsi="Times New Roman"/>
          <w:sz w:val="32"/>
          <w:szCs w:val="32"/>
        </w:rPr>
        <w:t>）</w:t>
      </w:r>
      <w:r w:rsidRPr="007058EB">
        <w:rPr>
          <w:rFonts w:ascii="Times New Roman" w:eastAsia="仿宋_GB2312" w:hAnsi="Times New Roman"/>
          <w:sz w:val="32"/>
          <w:szCs w:val="32"/>
        </w:rPr>
        <w:t>”</w:t>
      </w:r>
      <w:r w:rsidRPr="007058EB">
        <w:rPr>
          <w:rFonts w:ascii="Times New Roman" w:eastAsia="仿宋_GB2312" w:hAnsi="Times New Roman"/>
          <w:sz w:val="32"/>
          <w:szCs w:val="32"/>
        </w:rPr>
        <w:t>。上述条款中，对《巴西民法典》</w:t>
      </w:r>
      <w:r w:rsidRPr="007058EB">
        <w:rPr>
          <w:rFonts w:ascii="Times New Roman" w:eastAsia="仿宋_GB2312" w:hAnsi="Times New Roman"/>
          <w:sz w:val="32"/>
          <w:szCs w:val="32"/>
        </w:rPr>
        <w:t>333</w:t>
      </w:r>
      <w:r w:rsidRPr="007058EB">
        <w:rPr>
          <w:rFonts w:ascii="Times New Roman" w:eastAsia="仿宋_GB2312" w:hAnsi="Times New Roman"/>
          <w:sz w:val="32"/>
          <w:szCs w:val="32"/>
        </w:rPr>
        <w:t>系列条款的放弃，实质上剥夺了担保人几乎全部程序性权利，显著增加了其财务成本；而对《巴西民事诉讼法》第</w:t>
      </w:r>
      <w:r w:rsidRPr="007058EB">
        <w:rPr>
          <w:rFonts w:ascii="Times New Roman" w:eastAsia="仿宋_GB2312" w:hAnsi="Times New Roman"/>
          <w:sz w:val="32"/>
          <w:szCs w:val="32"/>
        </w:rPr>
        <w:t>130</w:t>
      </w:r>
      <w:r w:rsidRPr="007058EB">
        <w:rPr>
          <w:rFonts w:ascii="Times New Roman" w:eastAsia="仿宋_GB2312" w:hAnsi="Times New Roman"/>
          <w:sz w:val="32"/>
          <w:szCs w:val="32"/>
        </w:rPr>
        <w:t>条和第</w:t>
      </w:r>
      <w:r w:rsidRPr="007058EB">
        <w:rPr>
          <w:rFonts w:ascii="Times New Roman" w:eastAsia="仿宋_GB2312" w:hAnsi="Times New Roman"/>
          <w:sz w:val="32"/>
          <w:szCs w:val="32"/>
        </w:rPr>
        <w:t>794</w:t>
      </w:r>
      <w:r w:rsidRPr="007058EB">
        <w:rPr>
          <w:rFonts w:ascii="Times New Roman" w:eastAsia="仿宋_GB2312" w:hAnsi="Times New Roman"/>
          <w:sz w:val="32"/>
          <w:szCs w:val="32"/>
        </w:rPr>
        <w:t>条的放弃，直接导致担保人丧失</w:t>
      </w:r>
      <w:r w:rsidRPr="007058EB">
        <w:rPr>
          <w:rFonts w:ascii="Times New Roman" w:eastAsia="仿宋_GB2312" w:hAnsi="Times New Roman"/>
          <w:sz w:val="32"/>
          <w:szCs w:val="32"/>
        </w:rPr>
        <w:t>“</w:t>
      </w:r>
      <w:r w:rsidRPr="007058EB">
        <w:rPr>
          <w:rFonts w:ascii="Times New Roman" w:eastAsia="仿宋_GB2312" w:hAnsi="Times New Roman"/>
          <w:sz w:val="32"/>
          <w:szCs w:val="32"/>
        </w:rPr>
        <w:t>先诉抗辩权</w:t>
      </w:r>
      <w:r w:rsidRPr="007058EB">
        <w:rPr>
          <w:rFonts w:ascii="Times New Roman" w:eastAsia="仿宋_GB2312" w:hAnsi="Times New Roman"/>
          <w:sz w:val="32"/>
          <w:szCs w:val="32"/>
        </w:rPr>
        <w:t>”</w:t>
      </w:r>
      <w:r w:rsidRPr="007058EB">
        <w:rPr>
          <w:rFonts w:ascii="Times New Roman" w:eastAsia="仿宋_GB2312" w:hAnsi="Times New Roman"/>
          <w:sz w:val="32"/>
          <w:szCs w:val="32"/>
        </w:rPr>
        <w:t>，使担保人在司法程序中处于明显不利地位。</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（四）援引本地法律</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除约定准据法外，保函条款也偶尔会援引特别法，如：</w:t>
      </w:r>
      <w:r w:rsidRPr="007058EB">
        <w:rPr>
          <w:rFonts w:ascii="Times New Roman" w:eastAsia="仿宋_GB2312" w:hAnsi="Times New Roman"/>
          <w:sz w:val="32"/>
          <w:szCs w:val="32"/>
        </w:rPr>
        <w:t>“</w:t>
      </w:r>
      <w:r w:rsidRPr="007058EB">
        <w:rPr>
          <w:rFonts w:ascii="Times New Roman" w:eastAsia="仿宋_GB2312" w:hAnsi="Times New Roman"/>
          <w:sz w:val="32"/>
          <w:szCs w:val="32"/>
        </w:rPr>
        <w:t>本保函严格遵守所有关于信息安全、隐私及数据保护的适用立法，包括但不限于《通用数据保护法》（</w:t>
      </w:r>
      <w:r w:rsidRPr="007058EB">
        <w:rPr>
          <w:rFonts w:ascii="Times New Roman" w:eastAsia="仿宋_GB2312" w:hAnsi="Times New Roman"/>
          <w:sz w:val="32"/>
          <w:szCs w:val="32"/>
        </w:rPr>
        <w:t>LEI FEDERAL N.13.709/2018</w:t>
      </w:r>
      <w:r w:rsidRPr="007058EB">
        <w:rPr>
          <w:rFonts w:ascii="Times New Roman" w:eastAsia="仿宋_GB2312" w:hAnsi="Times New Roman"/>
          <w:sz w:val="32"/>
          <w:szCs w:val="32"/>
        </w:rPr>
        <w:t>）</w:t>
      </w:r>
      <w:r w:rsidRPr="007058EB">
        <w:rPr>
          <w:rFonts w:ascii="Times New Roman" w:eastAsia="仿宋_GB2312" w:hAnsi="Times New Roman"/>
          <w:sz w:val="32"/>
          <w:szCs w:val="32"/>
        </w:rPr>
        <w:t>”“</w:t>
      </w:r>
      <w:r w:rsidRPr="007058EB">
        <w:rPr>
          <w:rFonts w:ascii="Times New Roman" w:eastAsia="仿宋_GB2312" w:hAnsi="Times New Roman"/>
          <w:sz w:val="32"/>
          <w:szCs w:val="32"/>
        </w:rPr>
        <w:t>巴西《租房法》（</w:t>
      </w:r>
      <w:r w:rsidRPr="007058EB">
        <w:rPr>
          <w:rFonts w:ascii="Times New Roman" w:eastAsia="仿宋_GB2312" w:hAnsi="Times New Roman"/>
          <w:sz w:val="32"/>
          <w:szCs w:val="32"/>
        </w:rPr>
        <w:t>LEI 8.245/1991</w:t>
      </w:r>
      <w:r w:rsidRPr="007058EB">
        <w:rPr>
          <w:rFonts w:ascii="Times New Roman" w:eastAsia="仿宋_GB2312" w:hAnsi="Times New Roman"/>
          <w:sz w:val="32"/>
          <w:szCs w:val="32"/>
        </w:rPr>
        <w:t>）的规定在任何情况下均不适用于本保函</w:t>
      </w:r>
      <w:r w:rsidRPr="007058EB">
        <w:rPr>
          <w:rFonts w:ascii="Times New Roman" w:eastAsia="仿宋_GB2312" w:hAnsi="Times New Roman"/>
          <w:sz w:val="32"/>
          <w:szCs w:val="32"/>
        </w:rPr>
        <w:t>”</w:t>
      </w:r>
      <w:r w:rsidRPr="007058EB">
        <w:rPr>
          <w:rFonts w:ascii="Times New Roman" w:eastAsia="仿宋_GB2312" w:hAnsi="Times New Roman"/>
          <w:sz w:val="32"/>
          <w:szCs w:val="32"/>
        </w:rPr>
        <w:t>等。当一般法与特别法规定冲突时，应以哪个为准，这常为法律审查人员带来困惑。</w:t>
      </w:r>
    </w:p>
    <w:p w:rsidR="008445DB" w:rsidRPr="007058EB" w:rsidRDefault="008445DB" w:rsidP="008445DB">
      <w:pPr>
        <w:adjustRightInd w:val="0"/>
        <w:snapToGrid w:val="0"/>
        <w:spacing w:line="660" w:lineRule="exact"/>
        <w:ind w:left="640"/>
        <w:rPr>
          <w:rFonts w:ascii="Times New Roman" w:eastAsia="黑体" w:hAnsi="Times New Roman"/>
          <w:sz w:val="32"/>
          <w:szCs w:val="32"/>
        </w:rPr>
      </w:pPr>
      <w:r w:rsidRPr="007058EB">
        <w:rPr>
          <w:rFonts w:ascii="Times New Roman" w:eastAsia="黑体" w:hAnsi="Times New Roman"/>
          <w:sz w:val="32"/>
          <w:szCs w:val="32"/>
        </w:rPr>
        <w:t>五、对中资企业涉巴西保函业务的建议</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基于巴西担保规则的特殊性及司法实践倾向，建议中资企业开展巴西保函业务时采取以下策略：</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lastRenderedPageBreak/>
        <w:t>（一）合同阶段：优选管辖与转开路径，设置锁汇条款。</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中资企业应综合评估项目风险与司法环境，如条件允许，可约定由中国法院管辖或选择国际仲裁，以规避巴西本地司法可能存在的保护主义倾向。在转开行选择上，应优先考虑资本实力雄厚、信誉良好且对中资企业业务模式较为熟悉的巴西大型银行或保险公司。此外，建议在合同谈判中明确各项费用的分担机制，包括转开手续费、税费等，并建立汇率风险对冲安排。可考虑使用远期外汇合约等金融衍生工具锁定索赔时的汇率，或在合同（或保函文本）中明确约定汇率波动超出一定范围时的风险分担机制。</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（二）文本设置：明示语言与适用规则，慎用除外条款。</w:t>
      </w:r>
    </w:p>
    <w:p w:rsidR="008445DB" w:rsidRPr="007058EB" w:rsidRDefault="008445DB" w:rsidP="008445DB">
      <w:pPr>
        <w:adjustRightInd w:val="0"/>
        <w:snapToGrid w:val="0"/>
        <w:spacing w:line="660" w:lineRule="exact"/>
        <w:ind w:firstLineChars="200" w:firstLine="640"/>
        <w:rPr>
          <w:rFonts w:ascii="Times New Roman" w:eastAsia="仿宋_GB2312" w:hAnsi="Times New Roman"/>
          <w:sz w:val="32"/>
          <w:szCs w:val="32"/>
        </w:rPr>
      </w:pPr>
      <w:r w:rsidRPr="007058EB">
        <w:rPr>
          <w:rFonts w:ascii="Times New Roman" w:eastAsia="仿宋_GB2312" w:hAnsi="Times New Roman"/>
          <w:sz w:val="32"/>
          <w:szCs w:val="32"/>
        </w:rPr>
        <w:t>建议在独立保函及反担保函中明确约定适用《见索即付保函统一规则》（</w:t>
      </w:r>
      <w:r w:rsidRPr="007058EB">
        <w:rPr>
          <w:rFonts w:ascii="Times New Roman" w:eastAsia="仿宋_GB2312" w:hAnsi="Times New Roman"/>
          <w:sz w:val="32"/>
          <w:szCs w:val="32"/>
        </w:rPr>
        <w:t>URDG 758</w:t>
      </w:r>
      <w:r w:rsidRPr="007058EB">
        <w:rPr>
          <w:rFonts w:ascii="Times New Roman" w:eastAsia="仿宋_GB2312" w:hAnsi="Times New Roman"/>
          <w:sz w:val="32"/>
          <w:szCs w:val="32"/>
        </w:rPr>
        <w:t>）等国际惯例，清晰界定保函的独立属性。基于巴西法律对葡语文本的强制性要求，建议事先取得转开行出具的保函关键条款葡语译文，并确保翻译准确，避免因表述歧义引发争议。此外，建议审慎设置除外条款，尤其应避免接受放弃先诉抗辩权等可能损害担保人核心权利的条款，维持权利义务平衡。</w:t>
      </w:r>
    </w:p>
    <w:p w:rsidR="008445DB" w:rsidRPr="007058EB" w:rsidRDefault="008445DB" w:rsidP="008445DB">
      <w:pPr>
        <w:adjustRightInd w:val="0"/>
        <w:snapToGrid w:val="0"/>
        <w:spacing w:line="660" w:lineRule="exact"/>
        <w:ind w:firstLineChars="200" w:firstLine="643"/>
        <w:rPr>
          <w:rFonts w:ascii="Times New Roman" w:eastAsia="楷体_GB2312" w:hAnsi="Times New Roman"/>
          <w:b/>
          <w:sz w:val="32"/>
          <w:szCs w:val="32"/>
        </w:rPr>
      </w:pPr>
      <w:r w:rsidRPr="007058EB">
        <w:rPr>
          <w:rFonts w:ascii="Times New Roman" w:eastAsia="楷体_GB2312" w:hAnsi="Times New Roman"/>
          <w:b/>
          <w:sz w:val="32"/>
          <w:szCs w:val="32"/>
        </w:rPr>
        <w:t>（三）事后应对：收集欺诈证据，并行推进仲裁程序。</w:t>
      </w:r>
    </w:p>
    <w:p w:rsidR="008445DB" w:rsidRPr="000C1644" w:rsidRDefault="008445DB" w:rsidP="008445DB">
      <w:pPr>
        <w:adjustRightInd w:val="0"/>
        <w:snapToGrid w:val="0"/>
        <w:spacing w:line="660" w:lineRule="exact"/>
        <w:ind w:firstLineChars="200" w:firstLine="640"/>
        <w:rPr>
          <w:rFonts w:ascii="仿宋_GB2312" w:eastAsia="仿宋_GB2312" w:hAnsi="Times New Roman"/>
          <w:sz w:val="32"/>
          <w:szCs w:val="32"/>
        </w:rPr>
      </w:pPr>
      <w:r w:rsidRPr="007058EB">
        <w:rPr>
          <w:rFonts w:ascii="Times New Roman" w:eastAsia="仿宋_GB2312" w:hAnsi="Times New Roman"/>
          <w:sz w:val="32"/>
          <w:szCs w:val="32"/>
        </w:rPr>
        <w:t>巴西法律体系以成文法为核心，与英美法系国家的判例法传统不同，巴西法官在裁判时更侧重于对成文法条的解释</w:t>
      </w:r>
      <w:r w:rsidRPr="007058EB">
        <w:rPr>
          <w:rFonts w:ascii="Times New Roman" w:eastAsia="仿宋_GB2312" w:hAnsi="Times New Roman"/>
          <w:sz w:val="32"/>
          <w:szCs w:val="32"/>
        </w:rPr>
        <w:lastRenderedPageBreak/>
        <w:t>和适用，而非遵循既有判例。一旦收到受益人索赔通知，若保函适用巴西法律，建议第一时间聘请本地律师介入。若涉嫌欺诈，建议重点收集受益人存在欺诈或权利滥用的书面证据（例如其承认未违约的往来邮件、或明显不符合合同约定的索赔声明等），并考虑同步申请仲裁</w:t>
      </w:r>
      <w:r w:rsidRPr="007058EB">
        <w:rPr>
          <w:rFonts w:ascii="Times New Roman" w:eastAsia="仿宋_GB2312" w:hAnsi="Times New Roman"/>
          <w:sz w:val="32"/>
          <w:szCs w:val="32"/>
        </w:rPr>
        <w:t>/</w:t>
      </w:r>
      <w:r w:rsidRPr="007058EB">
        <w:rPr>
          <w:rFonts w:ascii="Times New Roman" w:eastAsia="仿宋_GB2312" w:hAnsi="Times New Roman"/>
          <w:sz w:val="32"/>
          <w:szCs w:val="32"/>
        </w:rPr>
        <w:t>诉讼解决基</w:t>
      </w:r>
      <w:r w:rsidRPr="000C1644">
        <w:rPr>
          <w:rFonts w:ascii="仿宋_GB2312" w:eastAsia="仿宋_GB2312" w:hAnsi="Times New Roman" w:hint="eastAsia"/>
          <w:sz w:val="32"/>
          <w:szCs w:val="32"/>
        </w:rPr>
        <w:t>础合同争议。</w:t>
      </w:r>
    </w:p>
    <w:p w:rsidR="008445DB" w:rsidRPr="00FA3ADE" w:rsidRDefault="008445DB" w:rsidP="008445DB">
      <w:pPr>
        <w:adjustRightInd w:val="0"/>
        <w:snapToGrid w:val="0"/>
        <w:spacing w:line="660" w:lineRule="exact"/>
        <w:rPr>
          <w:rFonts w:ascii="仿宋_GB2312" w:eastAsia="仿宋_GB2312" w:hAnsi="Times New Roman"/>
          <w:sz w:val="32"/>
          <w:szCs w:val="32"/>
        </w:rPr>
      </w:pPr>
    </w:p>
    <w:p w:rsidR="008445DB" w:rsidRDefault="008445DB" w:rsidP="008445DB">
      <w:pPr>
        <w:adjustRightInd w:val="0"/>
        <w:snapToGrid w:val="0"/>
        <w:spacing w:line="660" w:lineRule="exact"/>
        <w:rPr>
          <w:rFonts w:ascii="仿宋_GB2312" w:eastAsia="仿宋_GB2312" w:hAnsi="Times New Roman"/>
          <w:sz w:val="32"/>
          <w:szCs w:val="32"/>
        </w:rPr>
      </w:pPr>
    </w:p>
    <w:p w:rsidR="008445DB" w:rsidRPr="000C1644" w:rsidRDefault="008445DB" w:rsidP="008445DB">
      <w:pPr>
        <w:adjustRightInd w:val="0"/>
        <w:snapToGrid w:val="0"/>
        <w:spacing w:line="660" w:lineRule="exact"/>
        <w:rPr>
          <w:rFonts w:ascii="仿宋_GB2312" w:eastAsia="仿宋_GB2312" w:hAnsi="Times New Roman"/>
          <w:sz w:val="32"/>
          <w:szCs w:val="32"/>
        </w:rPr>
      </w:pPr>
      <w:r w:rsidRPr="000C1644">
        <w:rPr>
          <w:rFonts w:ascii="仿宋_GB2312" w:eastAsia="仿宋_GB2312" w:hAnsi="Times New Roman" w:hint="eastAsia"/>
          <w:sz w:val="32"/>
          <w:szCs w:val="32"/>
        </w:rPr>
        <w:t>供稿：中国工商银行国际结算单证中心（合肥）</w:t>
      </w:r>
      <w:r>
        <w:rPr>
          <w:rFonts w:ascii="仿宋_GB2312" w:eastAsia="仿宋_GB2312" w:hAnsi="Times New Roman" w:hint="eastAsia"/>
          <w:sz w:val="32"/>
          <w:szCs w:val="32"/>
        </w:rPr>
        <w:t xml:space="preserve"> </w:t>
      </w:r>
      <w:r w:rsidRPr="000C1644">
        <w:rPr>
          <w:rFonts w:ascii="仿宋_GB2312" w:eastAsia="仿宋_GB2312" w:hAnsi="Times New Roman" w:hint="eastAsia"/>
          <w:sz w:val="32"/>
          <w:szCs w:val="32"/>
        </w:rPr>
        <w:t>何流、张著</w:t>
      </w:r>
    </w:p>
    <w:p w:rsidR="008445DB" w:rsidRDefault="008445DB" w:rsidP="008445DB"/>
    <w:p w:rsidR="006D1E8D" w:rsidRPr="008445DB" w:rsidRDefault="006D1E8D"/>
    <w:sectPr w:rsidR="006D1E8D" w:rsidRPr="008445DB" w:rsidSect="003F126D">
      <w:footerReference w:type="default" r:id="rId4"/>
      <w:pgSz w:w="11906" w:h="16838"/>
      <w:pgMar w:top="1418" w:right="1800" w:bottom="141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75256"/>
      <w:docPartObj>
        <w:docPartGallery w:val="AutoText"/>
      </w:docPartObj>
    </w:sdtPr>
    <w:sdtEndPr/>
    <w:sdtContent>
      <w:p w:rsidR="008D0C42" w:rsidRDefault="008445DB">
        <w:pPr>
          <w:pStyle w:val="a3"/>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Pr="008445DB">
          <w:rPr>
            <w:rFonts w:asciiTheme="minorEastAsia" w:hAnsiTheme="minorEastAsia"/>
            <w:noProof/>
            <w:sz w:val="28"/>
            <w:szCs w:val="28"/>
            <w:lang w:val="zh-CN"/>
          </w:rPr>
          <w:t>2</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DB"/>
    <w:rsid w:val="006D1E8D"/>
    <w:rsid w:val="0084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A4B01-5D98-45FD-A1D0-962376CC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5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45D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8445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贡鑫</dc:creator>
  <cp:keywords/>
  <dc:description/>
  <cp:lastModifiedBy>贡鑫</cp:lastModifiedBy>
  <cp:revision>1</cp:revision>
  <dcterms:created xsi:type="dcterms:W3CDTF">2026-05-12T07:57:00Z</dcterms:created>
  <dcterms:modified xsi:type="dcterms:W3CDTF">2026-05-12T07:57:00Z</dcterms:modified>
</cp:coreProperties>
</file>